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3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418362</w:t>
      </w:r>
    </w:p>
    <w:p>
      <w:pPr>
        <w:pStyle w:val="17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Orlando, US, 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November, 2024</w:t>
      </w:r>
    </w:p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0" w:name="OLE_LINK14"/>
      <w:bookmarkStart w:id="1" w:name="OLE_LINK8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0"/>
          <w:rFonts w:hint="eastAsia"/>
          <w:b/>
          <w:highlight w:val="none"/>
          <w:lang w:val="pt-BR" w:eastAsia="zh-CN"/>
        </w:rPr>
        <w:t>iscussion on</w:t>
      </w:r>
      <w:bookmarkEnd w:id="0"/>
      <w:bookmarkEnd w:id="1"/>
      <w:r>
        <w:rPr>
          <w:rStyle w:val="60"/>
          <w:rFonts w:hint="eastAsia"/>
          <w:b/>
          <w:highlight w:val="none"/>
          <w:lang w:val="en-US" w:eastAsia="zh-CN"/>
        </w:rPr>
        <w:t xml:space="preserve"> UE RF requirements for NTN less than 5MHz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7.8.3.2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104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new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nhanced requirements and conductive test methodology for NR NTN and IoT NTN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. In this contribution, we want to share some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initial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less than 5MHz for NTN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from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UE RF requirement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s perspective.</w:t>
      </w:r>
    </w:p>
    <w:tbl>
      <w:tblPr>
        <w:tblStyle w:val="24"/>
        <w:tblW w:w="0" w:type="auto"/>
        <w:tblInd w:w="2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4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Less than 5MHz for NTN</w:t>
            </w:r>
          </w:p>
          <w:p>
            <w:pPr>
              <w:pStyle w:val="3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the system parameters for channel bandwidth of less than 5 MHz for NR-NTN (NR based Non-Terrestrial Networks) in FR1-NTN bands</w:t>
            </w:r>
          </w:p>
          <w:p>
            <w:pPr>
              <w:pStyle w:val="34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onsider the NR-NTN bands n255, n256, and n254</w:t>
            </w:r>
          </w:p>
          <w:p>
            <w:pPr>
              <w:pStyle w:val="34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Add less than 5MHz channel bandwidth</w:t>
            </w:r>
          </w:p>
          <w:p>
            <w:pPr>
              <w:pStyle w:val="34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3MHz with the RAN1 design in Rel-18</w:t>
            </w:r>
          </w:p>
          <w:p>
            <w:pPr>
              <w:pStyle w:val="34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Investigate and if necessary, specify the additional synchronization (sync) raster(s) for the additional channel bandwidth</w:t>
            </w:r>
          </w:p>
          <w:p>
            <w:pPr>
              <w:pStyle w:val="34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Leverage the work on less than 5MHz for TN</w:t>
            </w:r>
          </w:p>
          <w:p>
            <w:pPr>
              <w:pStyle w:val="34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Note: no RAN1 impact is expected</w:t>
            </w:r>
          </w:p>
          <w:p>
            <w:pPr>
              <w:pStyle w:val="3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the necessary SAN RF core requirements for NR-NTN in FR1-NTN bands</w:t>
            </w:r>
          </w:p>
          <w:p>
            <w:pPr>
              <w:pStyle w:val="3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the necessary NR-NTN UE RF core requirements for less than 5 MHz for NR-NTN in FR1-NTN bands</w:t>
            </w:r>
          </w:p>
          <w:p>
            <w:pPr>
              <w:pStyle w:val="34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Focus on power class 3 (PC3) for Tx RF requirements</w:t>
            </w:r>
          </w:p>
          <w:p>
            <w:pPr>
              <w:pStyle w:val="3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the necessary RRM core requirements for less than 5 MHz for NR-NTN in FR1-NTN bands</w:t>
            </w:r>
          </w:p>
          <w:p>
            <w:pPr>
              <w:pStyle w:val="3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the necessary signaling to support the above objectives</w:t>
            </w:r>
          </w:p>
          <w:p>
            <w:pPr>
              <w:pStyle w:val="34"/>
              <w:widowControl w:val="0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/>
              <w:ind w:left="1080" w:leftChars="0"/>
              <w:jc w:val="both"/>
              <w:textAlignment w:val="baseline"/>
              <w:rPr>
                <w:rFonts w:hint="default" w:eastAsia="宋体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pStyle w:val="4"/>
        <w:numPr>
          <w:ilvl w:val="0"/>
          <w:numId w:val="0"/>
        </w:numPr>
        <w:ind w:left="720" w:hanging="720"/>
        <w:rPr>
          <w:b/>
          <w:bCs/>
          <w:sz w:val="24"/>
          <w:szCs w:val="16"/>
        </w:rPr>
      </w:pPr>
      <w:r>
        <w:rPr>
          <w:b/>
          <w:bCs/>
          <w:sz w:val="24"/>
          <w:szCs w:val="16"/>
        </w:rPr>
        <w:t>UE Tx requirements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sz w:val="20"/>
                <w:szCs w:val="20"/>
                <w:u w:val="single"/>
                <w:lang w:eastAsia="ko-KR"/>
              </w:rPr>
              <w:t>Issue 2-1-3: A-MPR</w:t>
            </w:r>
          </w:p>
          <w:p>
            <w:pPr>
              <w:pStyle w:val="34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Way forward</w:t>
            </w:r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240"/>
              <w:ind w:left="1434" w:hanging="357" w:firstLineChars="0"/>
              <w:textAlignment w:val="auto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RAN4 to evaluate A-MPR for 3MHz channel BW for NS_02N, NS_03N, NS_04N, NS_05N and NS_24;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sz w:val="20"/>
                <w:szCs w:val="20"/>
                <w:u w:val="single"/>
                <w:lang w:eastAsia="ko-KR"/>
              </w:rPr>
              <w:t>Issue 2-1-9: General spurious emission</w:t>
            </w:r>
          </w:p>
          <w:p>
            <w:pPr>
              <w:pStyle w:val="34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Way forward</w:t>
            </w:r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240"/>
              <w:ind w:left="1434" w:hanging="357" w:firstLineChars="0"/>
              <w:textAlignment w:val="auto"/>
              <w:rPr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FFS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sz w:val="20"/>
                <w:szCs w:val="20"/>
                <w:u w:val="single"/>
                <w:lang w:eastAsia="ko-KR"/>
              </w:rPr>
              <w:t xml:space="preserve">Issue 2-1-10: Additional spurious emissions </w:t>
            </w:r>
          </w:p>
          <w:p>
            <w:pPr>
              <w:pStyle w:val="34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Way forward</w:t>
            </w:r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 w:val="20"/>
                <w:szCs w:val="20"/>
                <w:lang w:eastAsia="zh-CN"/>
              </w:rPr>
            </w:pPr>
            <w:bookmarkStart w:id="2" w:name="OLE_LINK82"/>
            <w:bookmarkStart w:id="3" w:name="OLE_LINK81"/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Option 1: </w:t>
            </w:r>
            <w:r>
              <w:rPr>
                <w:rFonts w:hint="eastAsia"/>
                <w:sz w:val="20"/>
                <w:szCs w:val="20"/>
                <w:lang w:eastAsia="zh-CN"/>
              </w:rPr>
              <w:t>New</w:t>
            </w:r>
            <w:r>
              <w:rPr>
                <w:sz w:val="20"/>
                <w:szCs w:val="20"/>
                <w:lang w:eastAsia="zh-CN"/>
              </w:rPr>
              <w:t xml:space="preserve"> requirements need define for NS_02N, 03N, 04N, 05N</w:t>
            </w:r>
            <w:bookmarkEnd w:id="2"/>
            <w:bookmarkEnd w:id="3"/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Option 2: </w:t>
            </w:r>
            <w:r>
              <w:rPr>
                <w:rFonts w:eastAsia="宋体"/>
                <w:sz w:val="20"/>
                <w:szCs w:val="20"/>
                <w:lang w:eastAsia="zh-CN"/>
              </w:rPr>
              <w:t>For the additional spurious emissions requirements, add 3 MHz CBW into</w:t>
            </w:r>
          </w:p>
          <w:p>
            <w:pPr>
              <w:pStyle w:val="34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/>
              <w:ind w:left="1860" w:firstLineChars="0"/>
              <w:textAlignment w:val="auto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Table 6.5.3.3.2-1: Additional requirements for "NS_02N";</w:t>
            </w:r>
          </w:p>
          <w:p>
            <w:pPr>
              <w:pStyle w:val="34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/>
              <w:ind w:left="1860" w:firstLineChars="0"/>
              <w:textAlignment w:val="auto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Table 6.5.3.3.3-1: Additional out-of-band requirements for "NS_03N";</w:t>
            </w:r>
          </w:p>
          <w:p>
            <w:pPr>
              <w:pStyle w:val="34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/>
              <w:ind w:left="1860" w:firstLineChars="0"/>
              <w:textAlignment w:val="auto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Table 6.5.3.3.4-1: Additional out-of-band requirements for "NS_04N" and "NS_05N".</w:t>
            </w:r>
          </w:p>
          <w:p>
            <w:pPr>
              <w:pStyle w:val="34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/>
              <w:ind w:left="1860" w:firstLineChars="0"/>
              <w:textAlignment w:val="auto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Add Table 6.5.3.3.5-1 Additional out-of-band requirements for "NS_24"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1500"/>
              <w:textAlignment w:val="baseline"/>
              <w:rPr>
                <w:sz w:val="20"/>
                <w:szCs w:val="20"/>
                <w:lang w:eastAsia="zh-CN"/>
              </w:rPr>
            </w:pPr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240"/>
              <w:ind w:left="1434" w:hanging="357" w:firstLineChars="0"/>
              <w:textAlignment w:val="auto"/>
              <w:rPr>
                <w:sz w:val="20"/>
                <w:szCs w:val="20"/>
                <w:vertAlign w:val="baseline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Option 3: </w:t>
            </w:r>
            <w:r>
              <w:rPr>
                <w:rFonts w:hint="eastAsia" w:eastAsia="宋体"/>
                <w:sz w:val="20"/>
                <w:szCs w:val="20"/>
                <w:lang w:eastAsia="zh-CN"/>
              </w:rPr>
              <w:t>Introduce 3 MHz channel bandwidth for all network signalling values</w:t>
            </w:r>
          </w:p>
        </w:tc>
      </w:tr>
    </w:tbl>
    <w:p>
      <w:pPr>
        <w:numPr>
          <w:ilvl w:val="0"/>
          <w:numId w:val="0"/>
        </w:numPr>
        <w:rPr>
          <w:rFonts w:hint="default"/>
          <w:sz w:val="20"/>
          <w:szCs w:val="18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A-</w:t>
      </w:r>
      <w:r>
        <w:rPr>
          <w:b/>
          <w:u w:val="single"/>
          <w:lang w:eastAsia="ko-KR"/>
        </w:rPr>
        <w:t>MPR</w:t>
      </w:r>
    </w:p>
    <w:p>
      <w:pPr>
        <w:bidi w:val="0"/>
        <w:rPr>
          <w:rFonts w:hint="eastAsia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 xml:space="preserve">For NS_01 and NS_02N, 3 MHz channel bandwidth shall be introduced to Table 6.2.3.1-1, but no A-MPR is needed to be defined. For NS_03N, NS_04N and NS_05N, 3 MHz channel bandwidth shall be introduced to Table 6.2.3.1-1, and A-MPR requirements for 3 MHz channel bandwidth need to be defined for each NS value in the corresponding clause. For NS_24, 3 MHz channel bandwidth also needs to be introduced. But, the corresponding clause for NS_24 is specified in clause 6.2.3.15 in TS 38.101-1. Hence, it is better specify A-MPR requirements for 3 MHz channel bandwidth for band n256 in a new clause in TS 38.101-5. </w:t>
      </w:r>
    </w:p>
    <w:p>
      <w:pPr>
        <w:bidi w:val="0"/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 xml:space="preserve">Proposal 1: </w:t>
      </w:r>
    </w:p>
    <w:p>
      <w:pPr>
        <w:numPr>
          <w:ilvl w:val="0"/>
          <w:numId w:val="10"/>
        </w:numPr>
        <w:bidi w:val="0"/>
        <w:ind w:left="420" w:leftChars="0" w:hanging="420" w:firstLineChars="0"/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hint="default"/>
          <w:b/>
          <w:bCs/>
          <w:sz w:val="20"/>
          <w:szCs w:val="18"/>
          <w:lang w:val="en-US" w:eastAsia="zh-CN"/>
        </w:rPr>
        <w:t>For NS_01 and NS_02N, 3 MHz channel bandwidth shall be introduced to Table 6.2.3.1-1, but no A-MPR is needed to be defined.</w:t>
      </w:r>
    </w:p>
    <w:p>
      <w:pPr>
        <w:numPr>
          <w:ilvl w:val="0"/>
          <w:numId w:val="10"/>
        </w:numPr>
        <w:bidi w:val="0"/>
        <w:ind w:left="420" w:leftChars="0" w:hanging="420" w:firstLineChars="0"/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hint="default"/>
          <w:b/>
          <w:bCs/>
          <w:sz w:val="20"/>
          <w:szCs w:val="18"/>
          <w:lang w:val="en-US" w:eastAsia="zh-CN"/>
        </w:rPr>
        <w:t>For NS_03N, NS_04N and NS_05N, 3 MHz channel bandwidth shall be introduced to Table 6.2.3.1-1, and A-MPR requirements for 3 MHz channel bandwidth need to be defined for each NS value in the corresponding clause.</w:t>
      </w:r>
    </w:p>
    <w:p>
      <w:pPr>
        <w:numPr>
          <w:ilvl w:val="0"/>
          <w:numId w:val="10"/>
        </w:numPr>
        <w:bidi w:val="0"/>
        <w:ind w:left="420" w:leftChars="0" w:hanging="420" w:firstLineChars="0"/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hint="default"/>
          <w:b/>
          <w:bCs/>
          <w:sz w:val="20"/>
          <w:szCs w:val="18"/>
          <w:lang w:val="en-US" w:eastAsia="zh-CN"/>
        </w:rPr>
        <w:t>For NS_24, 3 MHz channel bandwidth shall be introduced to Table 6.2.3.1-1</w:t>
      </w:r>
      <w:r>
        <w:rPr>
          <w:rFonts w:hint="eastAsia"/>
          <w:b/>
          <w:bCs/>
          <w:sz w:val="20"/>
          <w:szCs w:val="18"/>
          <w:lang w:val="en-US" w:eastAsia="zh-CN"/>
        </w:rPr>
        <w:t>. S</w:t>
      </w:r>
      <w:r>
        <w:rPr>
          <w:rFonts w:hint="default"/>
          <w:b/>
          <w:bCs/>
          <w:sz w:val="20"/>
          <w:szCs w:val="18"/>
          <w:lang w:val="en-US" w:eastAsia="zh-CN"/>
        </w:rPr>
        <w:t xml:space="preserve">pecify A-MPR requirements for 3 MHz channel bandwidth for band n256 in a new clause 6.2.3.X in </w:t>
      </w:r>
      <w:r>
        <w:rPr>
          <w:rFonts w:hint="eastAsia"/>
          <w:b/>
          <w:bCs/>
          <w:sz w:val="20"/>
          <w:szCs w:val="18"/>
          <w:lang w:val="en-US" w:eastAsia="zh-CN"/>
        </w:rPr>
        <w:t>TS</w:t>
      </w:r>
      <w:r>
        <w:rPr>
          <w:rFonts w:hint="default"/>
          <w:b/>
          <w:bCs/>
          <w:sz w:val="20"/>
          <w:szCs w:val="18"/>
          <w:lang w:val="en-US" w:eastAsia="zh-CN"/>
        </w:rPr>
        <w:t xml:space="preserve"> 38.101-5. </w:t>
      </w:r>
    </w:p>
    <w:p>
      <w:pPr>
        <w:numPr>
          <w:ilvl w:val="0"/>
          <w:numId w:val="0"/>
        </w:numPr>
        <w:bidi w:val="0"/>
        <w:ind w:leftChars="0"/>
        <w:rPr>
          <w:rFonts w:hint="default"/>
          <w:b/>
          <w:bCs/>
          <w:sz w:val="20"/>
          <w:szCs w:val="18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>General spurious emission</w:t>
      </w:r>
    </w:p>
    <w:p>
      <w:pPr>
        <w:numPr>
          <w:ilvl w:val="0"/>
          <w:numId w:val="0"/>
        </w:numPr>
        <w:rPr>
          <w:rFonts w:hint="eastAsia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>For b</w:t>
      </w:r>
      <w:r>
        <w:rPr>
          <w:sz w:val="20"/>
          <w:szCs w:val="18"/>
        </w:rPr>
        <w:t xml:space="preserve">oundary between </w:t>
      </w:r>
      <w:r>
        <w:rPr>
          <w:rFonts w:hint="eastAsia"/>
          <w:sz w:val="20"/>
          <w:szCs w:val="18"/>
        </w:rPr>
        <w:t>NR</w:t>
      </w:r>
      <w:r>
        <w:rPr>
          <w:sz w:val="20"/>
          <w:szCs w:val="18"/>
        </w:rPr>
        <w:t xml:space="preserve"> out of band and general spurious emission domain</w:t>
      </w:r>
      <w:r>
        <w:rPr>
          <w:rFonts w:hint="eastAsia"/>
          <w:sz w:val="20"/>
          <w:szCs w:val="18"/>
          <w:lang w:val="en-US" w:eastAsia="zh-CN"/>
        </w:rPr>
        <w:t>, 6MHz can be reused for NTN less than 5MHz.</w:t>
      </w:r>
    </w:p>
    <w:p>
      <w:pPr>
        <w:bidi w:val="0"/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2: For boundary between NR out of band and general spurious emission domain, 6MHz can be reused for NTN less than 5MHz.</w:t>
      </w:r>
    </w:p>
    <w:p>
      <w:pPr>
        <w:numPr>
          <w:ilvl w:val="0"/>
          <w:numId w:val="0"/>
        </w:numPr>
        <w:rPr>
          <w:rFonts w:hint="default"/>
          <w:sz w:val="20"/>
          <w:szCs w:val="18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b/>
          <w:u w:val="single"/>
          <w:lang w:val="en-US" w:eastAsia="zh-CN"/>
        </w:rPr>
      </w:pPr>
      <w:r>
        <w:rPr>
          <w:rFonts w:hint="default"/>
          <w:b/>
          <w:u w:val="single"/>
          <w:lang w:val="en-US" w:eastAsia="zh-CN"/>
        </w:rPr>
        <w:t xml:space="preserve">Additional spurious emissions </w:t>
      </w:r>
    </w:p>
    <w:p>
      <w:pPr>
        <w:numPr>
          <w:ilvl w:val="0"/>
          <w:numId w:val="0"/>
        </w:numPr>
        <w:rPr>
          <w:rFonts w:hint="default"/>
          <w:sz w:val="20"/>
          <w:szCs w:val="18"/>
          <w:lang w:val="en-US" w:eastAsia="zh-CN"/>
        </w:rPr>
      </w:pPr>
      <w:r>
        <w:rPr>
          <w:rFonts w:hint="default"/>
          <w:sz w:val="20"/>
          <w:szCs w:val="18"/>
          <w:lang w:val="en-US" w:eastAsia="zh-CN"/>
        </w:rPr>
        <w:t xml:space="preserve">For the additional spurious emissions requirements, add 3 MHz CBW into: </w:t>
      </w:r>
    </w:p>
    <w:p>
      <w:pPr>
        <w:numPr>
          <w:ilvl w:val="0"/>
          <w:numId w:val="10"/>
        </w:numPr>
        <w:bidi w:val="0"/>
        <w:ind w:left="420" w:leftChars="0" w:hanging="420" w:firstLineChars="0"/>
        <w:rPr>
          <w:rFonts w:hint="default"/>
          <w:sz w:val="20"/>
          <w:szCs w:val="18"/>
          <w:lang w:val="en-US" w:eastAsia="zh-CN"/>
        </w:rPr>
      </w:pPr>
      <w:r>
        <w:rPr>
          <w:rFonts w:hint="default"/>
          <w:sz w:val="20"/>
          <w:szCs w:val="18"/>
          <w:lang w:val="en-US" w:eastAsia="zh-CN"/>
        </w:rPr>
        <w:t>Table 6.5.3.3.2-1: Additional requirements for "NS_02N";</w:t>
      </w:r>
    </w:p>
    <w:p>
      <w:pPr>
        <w:numPr>
          <w:ilvl w:val="0"/>
          <w:numId w:val="10"/>
        </w:numPr>
        <w:bidi w:val="0"/>
        <w:ind w:left="420" w:leftChars="0" w:hanging="420" w:firstLineChars="0"/>
        <w:rPr>
          <w:rFonts w:hint="default"/>
          <w:sz w:val="20"/>
          <w:szCs w:val="18"/>
          <w:lang w:val="en-US" w:eastAsia="zh-CN"/>
        </w:rPr>
      </w:pPr>
      <w:r>
        <w:rPr>
          <w:rFonts w:hint="default"/>
          <w:sz w:val="20"/>
          <w:szCs w:val="18"/>
          <w:lang w:val="en-US" w:eastAsia="zh-CN"/>
        </w:rPr>
        <w:t>Table 6.5.3.3.3-1: Additional out-of-band requirements for "NS_03N";</w:t>
      </w:r>
    </w:p>
    <w:p>
      <w:pPr>
        <w:numPr>
          <w:ilvl w:val="0"/>
          <w:numId w:val="10"/>
        </w:numPr>
        <w:bidi w:val="0"/>
        <w:ind w:left="420" w:leftChars="0" w:hanging="420" w:firstLineChars="0"/>
        <w:rPr>
          <w:rFonts w:hint="default"/>
          <w:sz w:val="20"/>
          <w:szCs w:val="18"/>
          <w:lang w:val="en-US" w:eastAsia="zh-CN"/>
        </w:rPr>
      </w:pPr>
      <w:r>
        <w:rPr>
          <w:rFonts w:hint="default"/>
          <w:sz w:val="20"/>
          <w:szCs w:val="18"/>
          <w:lang w:val="en-US" w:eastAsia="zh-CN"/>
        </w:rPr>
        <w:t>Table 6.5.3.3.4-1: Additional out-of-band requirements for "NS_04N" and "NS_05N"</w:t>
      </w:r>
      <w:r>
        <w:rPr>
          <w:rFonts w:hint="eastAsia"/>
          <w:sz w:val="20"/>
          <w:szCs w:val="18"/>
          <w:lang w:val="en-US" w:eastAsia="zh-CN"/>
        </w:rPr>
        <w:t>;</w:t>
      </w:r>
    </w:p>
    <w:p>
      <w:pPr>
        <w:numPr>
          <w:ilvl w:val="0"/>
          <w:numId w:val="10"/>
        </w:numPr>
        <w:bidi w:val="0"/>
        <w:ind w:left="420" w:leftChars="0" w:hanging="420" w:firstLineChars="0"/>
        <w:rPr>
          <w:rFonts w:hint="default"/>
          <w:sz w:val="20"/>
          <w:szCs w:val="18"/>
          <w:lang w:val="en-US" w:eastAsia="zh-CN"/>
        </w:rPr>
      </w:pPr>
      <w:r>
        <w:rPr>
          <w:rFonts w:hint="default"/>
          <w:sz w:val="20"/>
          <w:szCs w:val="18"/>
          <w:lang w:val="en-US" w:eastAsia="zh-CN"/>
        </w:rPr>
        <w:t>Add Table 6.5.3.3.5-1</w:t>
      </w:r>
      <w:r>
        <w:rPr>
          <w:rFonts w:hint="eastAsia"/>
          <w:sz w:val="20"/>
          <w:szCs w:val="18"/>
          <w:lang w:val="en-US" w:eastAsia="zh-CN"/>
        </w:rPr>
        <w:t>:</w:t>
      </w:r>
      <w:r>
        <w:rPr>
          <w:rFonts w:hint="default"/>
          <w:sz w:val="20"/>
          <w:szCs w:val="18"/>
          <w:lang w:val="en-US" w:eastAsia="zh-CN"/>
        </w:rPr>
        <w:t xml:space="preserve"> Additional out-of-band requirements for "NS_24"</w:t>
      </w:r>
      <w:r>
        <w:rPr>
          <w:rFonts w:hint="eastAsia"/>
          <w:sz w:val="20"/>
          <w:szCs w:val="18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 xml:space="preserve">Proposal 3: </w:t>
      </w:r>
      <w:r>
        <w:rPr>
          <w:rFonts w:hint="default"/>
          <w:b/>
          <w:bCs/>
          <w:sz w:val="20"/>
          <w:szCs w:val="18"/>
          <w:lang w:val="en-US" w:eastAsia="zh-CN"/>
        </w:rPr>
        <w:t xml:space="preserve">For the additional spurious emissions requirements, add 3 MHz CBW into: </w:t>
      </w:r>
    </w:p>
    <w:p>
      <w:pPr>
        <w:numPr>
          <w:ilvl w:val="0"/>
          <w:numId w:val="10"/>
        </w:numPr>
        <w:bidi w:val="0"/>
        <w:ind w:left="420" w:leftChars="0" w:hanging="420" w:firstLineChars="0"/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hint="default"/>
          <w:b/>
          <w:bCs/>
          <w:sz w:val="20"/>
          <w:szCs w:val="18"/>
          <w:lang w:val="en-US" w:eastAsia="zh-CN"/>
        </w:rPr>
        <w:t>Table 6.5.3.3.2-1: Additional requirements for "NS_02N";</w:t>
      </w:r>
    </w:p>
    <w:p>
      <w:pPr>
        <w:numPr>
          <w:ilvl w:val="0"/>
          <w:numId w:val="10"/>
        </w:numPr>
        <w:bidi w:val="0"/>
        <w:ind w:left="420" w:leftChars="0" w:hanging="420" w:firstLineChars="0"/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hint="default"/>
          <w:b/>
          <w:bCs/>
          <w:sz w:val="20"/>
          <w:szCs w:val="18"/>
          <w:lang w:val="en-US" w:eastAsia="zh-CN"/>
        </w:rPr>
        <w:t>Table 6.5.3.3.3-1: Additional out-of-band requirements for "NS_03N";</w:t>
      </w:r>
    </w:p>
    <w:p>
      <w:pPr>
        <w:numPr>
          <w:ilvl w:val="0"/>
          <w:numId w:val="10"/>
        </w:numPr>
        <w:bidi w:val="0"/>
        <w:ind w:left="420" w:leftChars="0" w:hanging="420" w:firstLineChars="0"/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hint="default"/>
          <w:b/>
          <w:bCs/>
          <w:sz w:val="20"/>
          <w:szCs w:val="18"/>
          <w:lang w:val="en-US" w:eastAsia="zh-CN"/>
        </w:rPr>
        <w:t>Table 6.5.3.3.4-1: Additional out-of-band requirements for "NS_04N" and "NS_05N"</w:t>
      </w:r>
      <w:r>
        <w:rPr>
          <w:rFonts w:hint="eastAsia"/>
          <w:b/>
          <w:bCs/>
          <w:sz w:val="20"/>
          <w:szCs w:val="18"/>
          <w:lang w:val="en-US" w:eastAsia="zh-CN"/>
        </w:rPr>
        <w:t>;</w:t>
      </w:r>
    </w:p>
    <w:p>
      <w:pPr>
        <w:numPr>
          <w:ilvl w:val="0"/>
          <w:numId w:val="10"/>
        </w:numPr>
        <w:bidi w:val="0"/>
        <w:ind w:left="420" w:leftChars="0" w:hanging="420" w:firstLineChars="0"/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hint="default"/>
          <w:b/>
          <w:bCs/>
          <w:sz w:val="20"/>
          <w:szCs w:val="18"/>
          <w:lang w:val="en-US" w:eastAsia="zh-CN"/>
        </w:rPr>
        <w:t>Add Table 6.5.3.3.5-1</w:t>
      </w:r>
      <w:r>
        <w:rPr>
          <w:rFonts w:hint="eastAsia"/>
          <w:b/>
          <w:bCs/>
          <w:sz w:val="20"/>
          <w:szCs w:val="18"/>
          <w:lang w:val="en-US" w:eastAsia="zh-CN"/>
        </w:rPr>
        <w:t>:</w:t>
      </w:r>
      <w:r>
        <w:rPr>
          <w:rFonts w:hint="default"/>
          <w:b/>
          <w:bCs/>
          <w:sz w:val="20"/>
          <w:szCs w:val="18"/>
          <w:lang w:val="en-US" w:eastAsia="zh-CN"/>
        </w:rPr>
        <w:t xml:space="preserve"> Additional out-of-band requirements for "NS_24"</w:t>
      </w:r>
    </w:p>
    <w:p>
      <w:pPr>
        <w:numPr>
          <w:ilvl w:val="0"/>
          <w:numId w:val="0"/>
        </w:numPr>
        <w:bidi w:val="0"/>
        <w:ind w:leftChars="0"/>
        <w:rPr>
          <w:rFonts w:hint="default"/>
          <w:sz w:val="20"/>
          <w:szCs w:val="18"/>
          <w:lang w:val="en-US" w:eastAsia="zh-CN"/>
        </w:rPr>
      </w:pPr>
    </w:p>
    <w:p>
      <w:pPr>
        <w:pStyle w:val="4"/>
        <w:numPr>
          <w:ilvl w:val="0"/>
          <w:numId w:val="0"/>
        </w:numPr>
        <w:ind w:left="720" w:hanging="720"/>
        <w:rPr>
          <w:b/>
          <w:bCs/>
          <w:sz w:val="24"/>
          <w:szCs w:val="16"/>
        </w:rPr>
      </w:pPr>
      <w:r>
        <w:rPr>
          <w:b/>
          <w:bCs/>
          <w:sz w:val="24"/>
          <w:szCs w:val="16"/>
        </w:rPr>
        <w:t xml:space="preserve">UE </w:t>
      </w:r>
      <w:r>
        <w:rPr>
          <w:rFonts w:hint="eastAsia" w:eastAsia="宋体"/>
          <w:b/>
          <w:bCs/>
          <w:sz w:val="24"/>
          <w:szCs w:val="16"/>
          <w:lang w:val="en-US" w:eastAsia="zh-CN"/>
        </w:rPr>
        <w:t>R</w:t>
      </w:r>
      <w:r>
        <w:rPr>
          <w:b/>
          <w:bCs/>
          <w:sz w:val="24"/>
          <w:szCs w:val="16"/>
        </w:rPr>
        <w:t>x requirements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sz w:val="20"/>
                <w:szCs w:val="20"/>
                <w:u w:val="single"/>
                <w:lang w:eastAsia="ko-KR"/>
              </w:rPr>
              <w:t>Issue 2-2-1: Reference sensitivity</w:t>
            </w:r>
          </w:p>
          <w:p>
            <w:pPr>
              <w:pStyle w:val="34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Way forward</w:t>
            </w:r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 w:val="20"/>
                <w:szCs w:val="20"/>
                <w:lang w:val="en-US"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Optio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rFonts w:eastAsia="宋体"/>
                <w:sz w:val="20"/>
                <w:szCs w:val="20"/>
                <w:lang w:val="en-US" w:eastAsia="zh-CN"/>
              </w:rPr>
              <w:t>1</w:t>
            </w:r>
            <w:r>
              <w:rPr>
                <w:sz w:val="20"/>
                <w:szCs w:val="20"/>
              </w:rPr>
              <w:t>: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2.2dB improvement compared with 5 MHz CBW;</w:t>
            </w:r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240"/>
              <w:ind w:left="1434" w:hanging="357" w:firstLineChars="0"/>
              <w:textAlignment w:val="auto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Optio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sz w:val="20"/>
                <w:szCs w:val="20"/>
              </w:rPr>
              <w:t>: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sz w:val="20"/>
                <w:szCs w:val="20"/>
                <w:lang w:val="en-US" w:eastAsia="zh-CN"/>
              </w:rPr>
              <w:t>1.7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dB improvement compared with 5 MHz CBW</w:t>
            </w:r>
            <w:r>
              <w:rPr>
                <w:sz w:val="20"/>
                <w:szCs w:val="20"/>
                <w:lang w:val="en-US" w:eastAsia="zh-CN"/>
              </w:rPr>
              <w:t>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sz w:val="20"/>
                <w:szCs w:val="20"/>
                <w:u w:val="single"/>
                <w:lang w:eastAsia="ko-KR"/>
              </w:rPr>
              <w:t xml:space="preserve">Issue 2-2-2: </w:t>
            </w:r>
            <w:r>
              <w:rPr>
                <w:rFonts w:hint="eastAsia"/>
                <w:b/>
                <w:sz w:val="20"/>
                <w:szCs w:val="20"/>
                <w:u w:val="single"/>
                <w:lang w:eastAsia="ko-KR"/>
              </w:rPr>
              <w:t>Maximum input level</w:t>
            </w:r>
          </w:p>
          <w:p>
            <w:pPr>
              <w:pStyle w:val="34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Way forward</w:t>
            </w:r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240"/>
              <w:ind w:left="1434" w:hanging="357" w:firstLineChars="0"/>
              <w:textAlignment w:val="auto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FFS on the requirements for 5MHz, 10MHz, 15MHz and 20MHz of NTN FR1 UE (-40dBm)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sz w:val="20"/>
                <w:szCs w:val="20"/>
                <w:u w:val="single"/>
                <w:lang w:eastAsia="ko-KR"/>
              </w:rPr>
              <w:t>Issue 2-2-3: ACS</w:t>
            </w:r>
          </w:p>
          <w:p>
            <w:pPr>
              <w:pStyle w:val="34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Way forward</w:t>
            </w:r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Option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</w:t>
            </w:r>
            <w:r>
              <w:rPr>
                <w:sz w:val="20"/>
                <w:szCs w:val="20"/>
                <w:lang w:eastAsia="zh-CN"/>
              </w:rPr>
              <w:t xml:space="preserve">: Reuse the requirements for 5MHz, 10MHz of NTN FR1 UE. </w:t>
            </w:r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240"/>
              <w:ind w:left="1434" w:hanging="357" w:firstLineChars="0"/>
              <w:textAlignment w:val="auto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Option 2: </w:t>
            </w:r>
            <w:r>
              <w:rPr>
                <w:rFonts w:hint="eastAsia"/>
                <w:sz w:val="20"/>
                <w:szCs w:val="20"/>
                <w:lang w:eastAsia="zh-CN"/>
              </w:rPr>
              <w:t>3 MHz shall be added to table 7.5-1 into the same column as for 5 and 10 MHz channel BW. For tables 7.5-2 and 7.5-3, 3 MHz channel BW shall also be added but considering a 3 MHz interferer BW and 3/-3 interferer offset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  <w:r>
              <w:rPr>
                <w:sz w:val="20"/>
                <w:szCs w:val="20"/>
                <w:lang w:val="en-US" w:eastAsia="zh-CN"/>
              </w:rPr>
              <w:t xml:space="preserve">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vertAlign w:val="baseline"/>
              </w:rPr>
            </w:pPr>
          </w:p>
        </w:tc>
      </w:tr>
    </w:tbl>
    <w:p>
      <w:pPr>
        <w:numPr>
          <w:ilvl w:val="0"/>
          <w:numId w:val="0"/>
        </w:numPr>
        <w:bidi w:val="0"/>
        <w:spacing w:beforeLines="50" w:afterLines="50" w:line="259" w:lineRule="auto"/>
        <w:jc w:val="both"/>
        <w:rPr>
          <w:rFonts w:hint="eastAsia"/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Reference sensitivity</w:t>
      </w:r>
    </w:p>
    <w:p>
      <w:pPr>
        <w:numPr>
          <w:ilvl w:val="0"/>
          <w:numId w:val="0"/>
        </w:numPr>
        <w:rPr>
          <w:rFonts w:hint="default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>For REFSENS, we propose to use 2.2dB improvement compared with 5 MHz CBW. REFSENS for 3MHz can be defined as Table 2-1 and uplink configuration for REFSENS can be defined as Table 2-2.</w:t>
      </w:r>
    </w:p>
    <w:p>
      <w:pPr>
        <w:pStyle w:val="56"/>
      </w:pPr>
      <w:bookmarkStart w:id="4" w:name="_Hlk101788946"/>
      <w:r>
        <w:t xml:space="preserve">Table </w:t>
      </w:r>
      <w:r>
        <w:rPr>
          <w:rFonts w:hint="eastAsia"/>
          <w:lang w:val="en-US" w:eastAsia="zh-CN"/>
        </w:rPr>
        <w:t>2</w:t>
      </w:r>
      <w:r>
        <w:t>-1: Two antenna port reference sensitivity QPSK PREFSENS for FDD bands</w:t>
      </w:r>
    </w:p>
    <w:tbl>
      <w:tblPr>
        <w:tblStyle w:val="23"/>
        <w:tblW w:w="99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629"/>
        <w:gridCol w:w="76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996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tblHeader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FF"/>
                <w:lang w:val="en-US" w:eastAsia="zh-CN"/>
              </w:rPr>
              <w:t>-101.7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r>
              <w:rPr>
                <w:rFonts w:hint="eastAsia" w:cs="Arial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hint="eastAsia" w:cs="Arial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hint="eastAsia" w:cs="Arial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FF"/>
                <w:lang w:val="en-US" w:eastAsia="zh-CN"/>
              </w:rPr>
              <w:t>-102.2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FF"/>
                <w:lang w:val="en-US" w:eastAsia="zh-CN"/>
              </w:rPr>
              <w:t>-101.7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96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rFonts w:hint="eastAsia"/>
                <w:lang w:eastAsia="en-GB"/>
              </w:rPr>
              <w:t>：</w:t>
            </w:r>
            <w:r>
              <w:rPr>
                <w:lang w:eastAsia="en-GB"/>
              </w:rPr>
              <w:t>The transmitter shall be set to P</w:t>
            </w:r>
            <w:r>
              <w:rPr>
                <w:vertAlign w:val="subscript"/>
                <w:lang w:eastAsia="en-GB"/>
              </w:rPr>
              <w:t>UMAX</w:t>
            </w:r>
            <w:r>
              <w:rPr>
                <w:lang w:eastAsia="en-GB"/>
              </w:rPr>
              <w:t xml:space="preserve"> as defined in clause 6.2.4 </w:t>
            </w:r>
            <w:r>
              <w:t>of 3GPP TS 38.101-1 [5].</w:t>
            </w:r>
          </w:p>
        </w:tc>
      </w:tr>
      <w:bookmarkEnd w:id="4"/>
    </w:tbl>
    <w:p>
      <w:pPr>
        <w:pStyle w:val="56"/>
      </w:pPr>
      <w:r>
        <w:t>Table 2-2: Uplink configuration for reference sensitivity</w:t>
      </w:r>
    </w:p>
    <w:tbl>
      <w:tblPr>
        <w:tblStyle w:val="23"/>
        <w:tblW w:w="50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846"/>
        <w:gridCol w:w="846"/>
        <w:gridCol w:w="847"/>
        <w:gridCol w:w="847"/>
        <w:gridCol w:w="847"/>
        <w:gridCol w:w="847"/>
        <w:gridCol w:w="3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color w:val="0000FF"/>
                <w:szCs w:val="18"/>
                <w:lang w:val="en-US" w:eastAsia="zh-CN"/>
              </w:rPr>
              <w:t>15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1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17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17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color w:val="0000FF"/>
                <w:szCs w:val="18"/>
                <w:lang w:val="en-US" w:eastAsia="zh-CN"/>
              </w:rPr>
              <w:t>15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vertAlign w:val="superscript"/>
                <w:lang w:val="fr-FR" w:eastAsia="en-GB"/>
              </w:rPr>
            </w:pPr>
            <w:r>
              <w:rPr>
                <w:lang w:val="fr-FR" w:eastAsia="en-GB"/>
              </w:rPr>
              <w:t>75</w:t>
            </w:r>
            <w:r>
              <w:rPr>
                <w:vertAlign w:val="superscript"/>
                <w:lang w:val="fr-FR" w:eastAsia="en-GB"/>
              </w:rPr>
              <w:t>2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val="fr-FR" w:eastAsia="en-GB"/>
              </w:rPr>
              <w:t>50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1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n255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vertAlign w:val="superscript"/>
                <w:lang w:val="fr-FR" w:eastAsia="en-GB"/>
              </w:rPr>
            </w:pPr>
            <w:r>
              <w:rPr>
                <w:lang w:val="fr-FR" w:eastAsia="en-GB"/>
              </w:rPr>
              <w:t>36</w:t>
            </w:r>
            <w:r>
              <w:rPr>
                <w:vertAlign w:val="superscript"/>
                <w:lang w:val="fr-FR" w:eastAsia="en-GB"/>
              </w:rPr>
              <w:t>2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val="fr-FR" w:eastAsia="en-GB"/>
              </w:rPr>
              <w:t>24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17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vertAlign w:val="superscript"/>
                <w:lang w:val="fr-FR" w:eastAsia="en-GB"/>
              </w:rPr>
            </w:pPr>
            <w:r>
              <w:rPr>
                <w:lang w:val="fr-FR" w:eastAsia="en-GB"/>
              </w:rPr>
              <w:t>18</w:t>
            </w:r>
            <w:r>
              <w:rPr>
                <w:vertAlign w:val="superscript"/>
                <w:lang w:val="fr-FR" w:eastAsia="en-GB"/>
              </w:rPr>
              <w:t>2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val="fr-FR" w:eastAsia="en-GB"/>
              </w:rPr>
              <w:t>10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17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1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color w:val="0000FF"/>
                <w:szCs w:val="18"/>
                <w:lang w:val="en-US" w:eastAsia="zh-CN"/>
              </w:rPr>
              <w:t>15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1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n254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UL resource blocks shall be located as close as possible to the downlink operating band but confined within the transmission bandwidth configuration for the channel bandwidth in Table 5.3.2-1.</w:t>
            </w:r>
          </w:p>
        </w:tc>
      </w:tr>
    </w:tbl>
    <w:p>
      <w:pPr>
        <w:numPr>
          <w:ilvl w:val="0"/>
          <w:numId w:val="0"/>
        </w:numPr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4: REFSENS for 3MHz can be defined as Table 2-1 and uplink configuration for REFSENS can be defined as Table 2-2.</w:t>
      </w:r>
    </w:p>
    <w:p>
      <w:pPr>
        <w:numPr>
          <w:ilvl w:val="0"/>
          <w:numId w:val="0"/>
        </w:numPr>
        <w:rPr>
          <w:rFonts w:hint="default"/>
          <w:b/>
          <w:bCs/>
          <w:sz w:val="20"/>
          <w:szCs w:val="18"/>
          <w:lang w:val="en-US" w:eastAsia="zh-CN"/>
        </w:rPr>
      </w:pPr>
    </w:p>
    <w:p>
      <w:pPr>
        <w:rPr>
          <w:rFonts w:hint="eastAsia"/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>Maximum input level</w:t>
      </w:r>
    </w:p>
    <w:p>
      <w:pPr>
        <w:numPr>
          <w:ilvl w:val="0"/>
          <w:numId w:val="0"/>
        </w:numPr>
        <w:rPr>
          <w:rFonts w:hint="eastAsia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>For maximum input level, reuse the requirements for 5MHz, 10MHz, 15MHz and 20MHz of NTN FR1 UE (-40dBm).</w:t>
      </w:r>
    </w:p>
    <w:p>
      <w:pPr>
        <w:numPr>
          <w:ilvl w:val="0"/>
          <w:numId w:val="0"/>
        </w:numPr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5: For maximum input level, reuse the requirements for 5MHz, 10MHz, 15MHz and 20MHz of NTN FR1 UE (-40dBm).</w:t>
      </w:r>
    </w:p>
    <w:p>
      <w:pPr>
        <w:numPr>
          <w:ilvl w:val="0"/>
          <w:numId w:val="0"/>
        </w:numPr>
        <w:rPr>
          <w:rFonts w:hint="default"/>
          <w:b/>
          <w:bCs/>
          <w:sz w:val="20"/>
          <w:szCs w:val="18"/>
          <w:lang w:val="en-US" w:eastAsia="zh-CN"/>
        </w:rPr>
      </w:pPr>
    </w:p>
    <w:p>
      <w:pPr>
        <w:numPr>
          <w:ilvl w:val="0"/>
          <w:numId w:val="0"/>
        </w:numPr>
        <w:bidi w:val="0"/>
        <w:spacing w:beforeLines="50" w:afterLines="50" w:line="259" w:lineRule="auto"/>
        <w:jc w:val="both"/>
        <w:rPr>
          <w:rFonts w:hint="eastAsia"/>
          <w:b/>
          <w:u w:val="single"/>
          <w:lang w:val="en-US" w:eastAsia="zh-CN"/>
        </w:rPr>
      </w:pPr>
      <w:r>
        <w:rPr>
          <w:b/>
          <w:u w:val="single"/>
          <w:lang w:eastAsia="ko-KR"/>
        </w:rPr>
        <w:t>ACS</w:t>
      </w:r>
    </w:p>
    <w:p>
      <w:pPr>
        <w:numPr>
          <w:ilvl w:val="0"/>
          <w:numId w:val="0"/>
        </w:numPr>
        <w:rPr>
          <w:rFonts w:hint="eastAsia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>For ACS, 3 MHz shall be added to table 7.5-1 into the same column as for 5 and 10 MHz channel BW. For tables 7.5-2 and 7.5-3, 3 MHz channel BW shall also be added but considering a 3 MHz interferer BW and 3/-3 interferer offset, which are shown in the following tables.</w:t>
      </w:r>
    </w:p>
    <w:p>
      <w:pPr>
        <w:pStyle w:val="56"/>
      </w:pPr>
      <w:r>
        <w:t>Table 7.5-1: ACS for NR satellite bands with F</w:t>
      </w:r>
      <w:r>
        <w:rPr>
          <w:vertAlign w:val="subscript"/>
        </w:rPr>
        <w:t>DL_high</w:t>
      </w:r>
      <w:r>
        <w:t xml:space="preserve"> &lt; 2700 MHz and F</w:t>
      </w:r>
      <w:r>
        <w:rPr>
          <w:vertAlign w:val="subscript"/>
        </w:rPr>
        <w:t>UL_high</w:t>
      </w:r>
      <w:r>
        <w:t xml:space="preserve"> &lt; 2700 MHz</w:t>
      </w:r>
    </w:p>
    <w:tbl>
      <w:tblPr>
        <w:tblStyle w:val="23"/>
        <w:tblW w:w="5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874"/>
        <w:gridCol w:w="1065"/>
        <w:gridCol w:w="1065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170" w:type="dxa"/>
            <w:vMerge w:val="restart"/>
            <w:shd w:val="clear" w:color="auto" w:fill="auto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RX parameter</w:t>
            </w:r>
          </w:p>
        </w:tc>
        <w:tc>
          <w:tcPr>
            <w:tcW w:w="874" w:type="dxa"/>
            <w:vMerge w:val="restart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Units</w:t>
            </w:r>
          </w:p>
        </w:tc>
        <w:tc>
          <w:tcPr>
            <w:tcW w:w="3196" w:type="dxa"/>
            <w:gridSpan w:val="3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170" w:type="dxa"/>
            <w:vMerge w:val="continue"/>
            <w:shd w:val="clear" w:color="auto" w:fill="auto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</w:p>
        </w:tc>
        <w:tc>
          <w:tcPr>
            <w:tcW w:w="874" w:type="dxa"/>
            <w:vMerge w:val="continue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</w:p>
        </w:tc>
        <w:tc>
          <w:tcPr>
            <w:tcW w:w="1065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rPr>
                <w:rFonts w:hint="eastAsia" w:eastAsia="宋体"/>
                <w:color w:val="0000FF"/>
                <w:lang w:val="en-US" w:eastAsia="zh-CN"/>
              </w:rPr>
              <w:t>3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5, 10</w:t>
            </w:r>
          </w:p>
        </w:tc>
        <w:tc>
          <w:tcPr>
            <w:tcW w:w="1065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15</w:t>
            </w:r>
          </w:p>
        </w:tc>
        <w:tc>
          <w:tcPr>
            <w:tcW w:w="1066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170" w:type="dxa"/>
            <w:shd w:val="clear" w:color="auto" w:fill="auto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ACS</w:t>
            </w:r>
          </w:p>
        </w:tc>
        <w:tc>
          <w:tcPr>
            <w:tcW w:w="874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dB</w:t>
            </w:r>
          </w:p>
        </w:tc>
        <w:tc>
          <w:tcPr>
            <w:tcW w:w="1065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33</w:t>
            </w:r>
          </w:p>
        </w:tc>
        <w:tc>
          <w:tcPr>
            <w:tcW w:w="1065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30</w:t>
            </w:r>
          </w:p>
        </w:tc>
        <w:tc>
          <w:tcPr>
            <w:tcW w:w="1066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27</w:t>
            </w:r>
          </w:p>
        </w:tc>
      </w:tr>
    </w:tbl>
    <w:p/>
    <w:p>
      <w:pPr>
        <w:pStyle w:val="56"/>
      </w:pPr>
      <w:r>
        <w:t>Table 7.5-2: Test parameters for NR bands with F</w:t>
      </w:r>
      <w:r>
        <w:rPr>
          <w:vertAlign w:val="subscript"/>
        </w:rPr>
        <w:t xml:space="preserve">DL_high </w:t>
      </w:r>
      <w:r>
        <w:t>&lt; 2700 MHz and F</w:t>
      </w:r>
      <w:r>
        <w:rPr>
          <w:vertAlign w:val="subscript"/>
        </w:rPr>
        <w:t xml:space="preserve">UL_high </w:t>
      </w:r>
      <w:r>
        <w:t>&lt; 2700 MHz, case 1</w:t>
      </w:r>
    </w:p>
    <w:tbl>
      <w:tblPr>
        <w:tblStyle w:val="24"/>
        <w:tblW w:w="89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2"/>
        <w:gridCol w:w="1134"/>
        <w:gridCol w:w="1333"/>
        <w:gridCol w:w="1510"/>
        <w:gridCol w:w="1470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2" w:type="dxa"/>
            <w:vMerge w:val="restart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RX parameter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Units</w:t>
            </w:r>
          </w:p>
        </w:tc>
        <w:tc>
          <w:tcPr>
            <w:tcW w:w="5765" w:type="dxa"/>
            <w:gridSpan w:val="4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2" w:type="dxa"/>
            <w:vMerge w:val="continue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</w:p>
        </w:tc>
        <w:tc>
          <w:tcPr>
            <w:tcW w:w="1333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color w:val="0000FF"/>
                <w:lang w:val="en-US" w:eastAsia="zh-CN"/>
              </w:rPr>
              <w:t>3</w:t>
            </w:r>
          </w:p>
        </w:tc>
        <w:tc>
          <w:tcPr>
            <w:tcW w:w="1510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5, 10</w:t>
            </w:r>
          </w:p>
        </w:tc>
        <w:tc>
          <w:tcPr>
            <w:tcW w:w="1470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15</w:t>
            </w:r>
          </w:p>
        </w:tc>
        <w:tc>
          <w:tcPr>
            <w:tcW w:w="1452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Power in transmission bandwidth configuration</w:t>
            </w:r>
          </w:p>
        </w:tc>
        <w:tc>
          <w:tcPr>
            <w:tcW w:w="1134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dBm</w:t>
            </w:r>
          </w:p>
        </w:tc>
        <w:tc>
          <w:tcPr>
            <w:tcW w:w="5765" w:type="dxa"/>
            <w:gridSpan w:val="4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REFSENS + 14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P</w:t>
            </w:r>
            <w:r>
              <w:rPr>
                <w:vertAlign w:val="subscript"/>
              </w:rPr>
              <w:t>interferer</w:t>
            </w:r>
            <w:r>
              <w:rPr>
                <w:rFonts w:asciiTheme="minorEastAsia" w:hAnsiTheme="minorEastAsia" w:eastAsiaTheme="minorEastAsia"/>
                <w:vertAlign w:val="superscript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dBm</w:t>
            </w:r>
          </w:p>
        </w:tc>
        <w:tc>
          <w:tcPr>
            <w:tcW w:w="2843" w:type="dxa"/>
            <w:gridSpan w:val="2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REFSENS + 45.5 dB</w:t>
            </w:r>
          </w:p>
        </w:tc>
        <w:tc>
          <w:tcPr>
            <w:tcW w:w="1470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REFSENS + 42.5 dB</w:t>
            </w:r>
          </w:p>
        </w:tc>
        <w:tc>
          <w:tcPr>
            <w:tcW w:w="145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REFSENS + 39.5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BW</w:t>
            </w:r>
            <w:r>
              <w:rPr>
                <w:vertAlign w:val="subscript"/>
              </w:rPr>
              <w:t>interferer</w:t>
            </w:r>
          </w:p>
        </w:tc>
        <w:tc>
          <w:tcPr>
            <w:tcW w:w="1134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MHz</w:t>
            </w:r>
          </w:p>
        </w:tc>
        <w:tc>
          <w:tcPr>
            <w:tcW w:w="1333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eastAsiaTheme="minorEastAsia"/>
                <w:color w:val="0000FF"/>
                <w:lang w:val="en-US" w:eastAsia="zh-CN"/>
              </w:rPr>
              <w:t>3</w:t>
            </w:r>
          </w:p>
        </w:tc>
        <w:tc>
          <w:tcPr>
            <w:tcW w:w="4432" w:type="dxa"/>
            <w:gridSpan w:val="3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F</w:t>
            </w:r>
            <w:r>
              <w:rPr>
                <w:vertAlign w:val="subscript"/>
              </w:rPr>
              <w:t xml:space="preserve">interferer </w:t>
            </w:r>
            <w:r>
              <w:t>(offset)</w:t>
            </w:r>
            <w:r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MHz</w:t>
            </w:r>
          </w:p>
        </w:tc>
        <w:tc>
          <w:tcPr>
            <w:tcW w:w="1333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rPr>
                <w:color w:val="0000FF"/>
              </w:rPr>
              <w:t>3 /- 3</w:t>
            </w:r>
          </w:p>
        </w:tc>
        <w:tc>
          <w:tcPr>
            <w:tcW w:w="4432" w:type="dxa"/>
            <w:gridSpan w:val="3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BW</w:t>
            </w:r>
            <w:r>
              <w:rPr>
                <w:sz w:val="12"/>
                <w:szCs w:val="12"/>
              </w:rPr>
              <w:t xml:space="preserve">Channel </w:t>
            </w:r>
            <w:r>
              <w:t>/2 + 2.5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/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-(BW</w:t>
            </w:r>
            <w:r>
              <w:rPr>
                <w:sz w:val="12"/>
                <w:szCs w:val="12"/>
              </w:rPr>
              <w:t xml:space="preserve">Channel </w:t>
            </w:r>
            <w:r>
              <w:t>/2 + 2.5)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1" w:type="dxa"/>
            <w:gridSpan w:val="6"/>
          </w:tcPr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NOTE 1:</w:t>
            </w:r>
            <w:r>
              <w:tab/>
            </w:r>
            <w:r>
              <w:t>The transmitter shall be set to 4 dB below P</w:t>
            </w:r>
            <w:r>
              <w:rPr>
                <w:vertAlign w:val="subscript"/>
              </w:rPr>
              <w:t xml:space="preserve">CMAX_L,f,c </w:t>
            </w:r>
            <w:r>
              <w:t>at the minimum UL configuration specified in clause 7.3.2 with P</w:t>
            </w:r>
            <w:r>
              <w:rPr>
                <w:vertAlign w:val="subscript"/>
              </w:rPr>
              <w:t xml:space="preserve">CMAX_L,f,c </w:t>
            </w:r>
            <w:r>
              <w:t>defined in clause 6.2.4.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NOTE 2:</w:t>
            </w:r>
            <w:r>
              <w:tab/>
            </w:r>
            <w:r>
              <w:t>The absolute value of the interferer offset F</w:t>
            </w:r>
            <w:r>
              <w:rPr>
                <w:vertAlign w:val="subscript"/>
              </w:rPr>
              <w:t xml:space="preserve">interferer </w:t>
            </w:r>
            <w:r>
              <w:t xml:space="preserve">(offset) shall be further adjusted to </w:t>
            </w:r>
            <w:r>
              <w:rPr>
                <w:rFonts w:eastAsia="Osaka"/>
              </w:rPr>
              <w:object>
                <v:shape id="_x0000_i1025" o:spt="75" type="#_x0000_t75" style="height:11pt;width:114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12">
                  <o:LockedField>false</o:LockedField>
                </o:OLEObject>
              </w:object>
            </w:r>
            <w:r>
              <w:t>MHz with SCS the sub-carrier spacing of the wanted signal in MHz. The interferer is an NR signal with 15 kHz SCS.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NOTE 3:</w:t>
            </w:r>
            <w:r>
              <w:tab/>
            </w:r>
            <w:r>
              <w:t>The interferer consists of the NR interferer RMC specified in 3GPP TS 38.101-1 [5] Annex A.3.2.2 with one sided dynamic OCNG Pattern OP.1 FDD for the DL-signal as described in 3GPP TS 38.101-1 [5] Annex A.5.1.1.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NOTE 4: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interferer</w:t>
            </w:r>
            <w:r>
              <w:t xml:space="preserve"> shall be rounded to the next higher 0.5dB value.</w:t>
            </w:r>
          </w:p>
        </w:tc>
      </w:tr>
    </w:tbl>
    <w:p/>
    <w:p>
      <w:pPr>
        <w:pStyle w:val="56"/>
      </w:pPr>
      <w:r>
        <w:t>Table 7.5-3: Test parameters for NR bands with F</w:t>
      </w:r>
      <w:r>
        <w:rPr>
          <w:vertAlign w:val="subscript"/>
        </w:rPr>
        <w:t>DL_high</w:t>
      </w:r>
      <w:r>
        <w:t xml:space="preserve"> &lt; 2700 MHz and F</w:t>
      </w:r>
      <w:r>
        <w:rPr>
          <w:vertAlign w:val="subscript"/>
        </w:rPr>
        <w:t>UL_high</w:t>
      </w:r>
      <w:r>
        <w:t xml:space="preserve"> &lt; 2700 MHz, case 2</w:t>
      </w:r>
    </w:p>
    <w:tbl>
      <w:tblPr>
        <w:tblStyle w:val="24"/>
        <w:tblW w:w="8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3"/>
        <w:gridCol w:w="1197"/>
        <w:gridCol w:w="1283"/>
        <w:gridCol w:w="1490"/>
        <w:gridCol w:w="1520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3" w:type="dxa"/>
            <w:vMerge w:val="restart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RX parameter</w:t>
            </w:r>
          </w:p>
        </w:tc>
        <w:tc>
          <w:tcPr>
            <w:tcW w:w="1197" w:type="dxa"/>
            <w:vMerge w:val="restart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Units</w:t>
            </w:r>
          </w:p>
        </w:tc>
        <w:tc>
          <w:tcPr>
            <w:tcW w:w="5748" w:type="dxa"/>
            <w:gridSpan w:val="4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3" w:type="dxa"/>
            <w:vMerge w:val="continue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</w:p>
        </w:tc>
        <w:tc>
          <w:tcPr>
            <w:tcW w:w="1197" w:type="dxa"/>
            <w:vMerge w:val="continue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</w:p>
        </w:tc>
        <w:tc>
          <w:tcPr>
            <w:tcW w:w="1283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color w:val="0000FF"/>
                <w:lang w:val="en-US" w:eastAsia="zh-CN"/>
              </w:rPr>
              <w:t>3</w:t>
            </w:r>
          </w:p>
        </w:tc>
        <w:tc>
          <w:tcPr>
            <w:tcW w:w="1490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5, 10</w:t>
            </w:r>
          </w:p>
        </w:tc>
        <w:tc>
          <w:tcPr>
            <w:tcW w:w="1520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15</w:t>
            </w:r>
          </w:p>
        </w:tc>
        <w:tc>
          <w:tcPr>
            <w:tcW w:w="1455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3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Power in transmission bandwidth configuration</w:t>
            </w:r>
          </w:p>
        </w:tc>
        <w:tc>
          <w:tcPr>
            <w:tcW w:w="1197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dBm</w:t>
            </w:r>
          </w:p>
        </w:tc>
        <w:tc>
          <w:tcPr>
            <w:tcW w:w="2773" w:type="dxa"/>
            <w:gridSpan w:val="2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lang w:eastAsia="zh-TW"/>
              </w:rPr>
            </w:pPr>
            <w:r>
              <w:t>-</w:t>
            </w:r>
            <w:r>
              <w:rPr>
                <w:rFonts w:eastAsia="Microsoft JhengHei"/>
                <w:lang w:eastAsia="zh-TW"/>
              </w:rPr>
              <w:t>71.5</w:t>
            </w:r>
          </w:p>
        </w:tc>
        <w:tc>
          <w:tcPr>
            <w:tcW w:w="1520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-68.5</w:t>
            </w:r>
          </w:p>
        </w:tc>
        <w:tc>
          <w:tcPr>
            <w:tcW w:w="1455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-65.5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3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P</w:t>
            </w:r>
            <w:r>
              <w:rPr>
                <w:vertAlign w:val="subscript"/>
              </w:rPr>
              <w:t>interferer</w:t>
            </w:r>
          </w:p>
        </w:tc>
        <w:tc>
          <w:tcPr>
            <w:tcW w:w="1197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dBm</w:t>
            </w:r>
          </w:p>
        </w:tc>
        <w:tc>
          <w:tcPr>
            <w:tcW w:w="5748" w:type="dxa"/>
            <w:gridSpan w:val="4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Theme="minorEastAsia"/>
                <w:lang w:eastAsia="zh-TW"/>
              </w:rPr>
            </w:pPr>
            <w:r>
              <w:rPr>
                <w:rFonts w:hint="eastAsia" w:eastAsiaTheme="minorEastAsia"/>
                <w:lang w:eastAsia="zh-TW"/>
              </w:rPr>
              <w:t>-</w:t>
            </w:r>
            <w:r>
              <w:rPr>
                <w:rFonts w:eastAsiaTheme="minorEastAsia"/>
                <w:lang w:eastAsia="zh-TW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3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BW</w:t>
            </w:r>
            <w:r>
              <w:rPr>
                <w:vertAlign w:val="subscript"/>
              </w:rPr>
              <w:t>interferer</w:t>
            </w:r>
          </w:p>
        </w:tc>
        <w:tc>
          <w:tcPr>
            <w:tcW w:w="1197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MHz</w:t>
            </w:r>
          </w:p>
        </w:tc>
        <w:tc>
          <w:tcPr>
            <w:tcW w:w="1283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eastAsiaTheme="minorEastAsia"/>
                <w:color w:val="0000FF"/>
                <w:lang w:val="en-US" w:eastAsia="zh-CN"/>
              </w:rPr>
              <w:t>3</w:t>
            </w:r>
          </w:p>
        </w:tc>
        <w:tc>
          <w:tcPr>
            <w:tcW w:w="4465" w:type="dxa"/>
            <w:gridSpan w:val="3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3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F</w:t>
            </w:r>
            <w:r>
              <w:rPr>
                <w:vertAlign w:val="subscript"/>
              </w:rPr>
              <w:t xml:space="preserve">interferer </w:t>
            </w:r>
            <w:r>
              <w:t>(offset)</w:t>
            </w:r>
          </w:p>
        </w:tc>
        <w:tc>
          <w:tcPr>
            <w:tcW w:w="1197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MHz</w:t>
            </w:r>
          </w:p>
        </w:tc>
        <w:tc>
          <w:tcPr>
            <w:tcW w:w="1283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rPr>
                <w:color w:val="0000FF"/>
              </w:rPr>
              <w:t>3 /- 3</w:t>
            </w:r>
          </w:p>
        </w:tc>
        <w:tc>
          <w:tcPr>
            <w:tcW w:w="4465" w:type="dxa"/>
            <w:gridSpan w:val="3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BW</w:t>
            </w:r>
            <w:r>
              <w:rPr>
                <w:sz w:val="12"/>
                <w:szCs w:val="12"/>
              </w:rPr>
              <w:t xml:space="preserve">Channel </w:t>
            </w:r>
            <w:r>
              <w:t>/2 + 2.5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/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-(BW</w:t>
            </w:r>
            <w:r>
              <w:rPr>
                <w:sz w:val="12"/>
                <w:szCs w:val="12"/>
              </w:rPr>
              <w:t xml:space="preserve">Channel </w:t>
            </w:r>
            <w:r>
              <w:t>/2 + 2.5)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8" w:type="dxa"/>
            <w:gridSpan w:val="6"/>
          </w:tcPr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NOTE 1:</w:t>
            </w:r>
            <w:r>
              <w:tab/>
            </w:r>
            <w:r>
              <w:t>The transmitter shall be set to 24 dB below P</w:t>
            </w:r>
            <w:r>
              <w:rPr>
                <w:vertAlign w:val="subscript"/>
              </w:rPr>
              <w:t xml:space="preserve">CMAX_L,f,c </w:t>
            </w:r>
            <w:r>
              <w:t>at the minimum UL configuration specified in clause 7.3.2 with P</w:t>
            </w:r>
            <w:r>
              <w:rPr>
                <w:vertAlign w:val="subscript"/>
              </w:rPr>
              <w:t xml:space="preserve">CMAX_L,f,c </w:t>
            </w:r>
            <w:r>
              <w:t>defined in clause 6.2.4.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NOTE 2:</w:t>
            </w:r>
            <w:r>
              <w:tab/>
            </w:r>
            <w:r>
              <w:t>The absolute value of the interferer offset F</w:t>
            </w:r>
            <w:r>
              <w:rPr>
                <w:vertAlign w:val="subscript"/>
              </w:rPr>
              <w:t xml:space="preserve">interferer </w:t>
            </w:r>
            <w:r>
              <w:t xml:space="preserve">(offset) shall be further adjusted to </w:t>
            </w:r>
            <w:r>
              <w:rPr>
                <w:rFonts w:eastAsia="Osaka"/>
              </w:rPr>
              <w:object>
                <v:shape id="_x0000_i1026" o:spt="75" type="#_x0000_t75" style="height:11pt;width:114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4">
                  <o:LockedField>false</o:LockedField>
                </o:OLEObject>
              </w:object>
            </w:r>
            <w:r>
              <w:t>MHz with SCS the sub-carrier spacing of the wanted signal in MHz. The interferer is an NR signal with 15 kHz SCS.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NOTE 3:</w:t>
            </w:r>
            <w:r>
              <w:tab/>
            </w:r>
            <w:r>
              <w:t>The interferer consists of the NR interferer RMC specified in 3GPP TS 38.101-1 [5] Annex A.3.2.2  with one sided dynamic OCNG Pattern OP.1 FDD for the DL-signal as described in 3GPP TS 38.101-1 [5] Annex A.5.1.1.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NOTE 4: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interferer</w:t>
            </w:r>
            <w:r>
              <w:t xml:space="preserve"> shall be rounded to the next higher 0.5dB value.</w:t>
            </w:r>
          </w:p>
        </w:tc>
      </w:tr>
    </w:tbl>
    <w:p>
      <w:pPr>
        <w:numPr>
          <w:ilvl w:val="0"/>
          <w:numId w:val="0"/>
        </w:numPr>
        <w:rPr>
          <w:rFonts w:hint="eastAsia"/>
          <w:sz w:val="20"/>
          <w:szCs w:val="18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6: For ACS, 3 MHz shall be added to table 7.5-1 into the same column as for 5 and 10 MHz channel BW. For tables 7.5-2 and 7.5-3, 3 MHz channel BW shall also be added but considering a 3 MHz interferer BW and 3/-3 interferer offset, which are shown in the following tables.</w:t>
      </w:r>
    </w:p>
    <w:p>
      <w:pPr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shared some views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UE RF requirement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for NTN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less than 5MHz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 are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bidi w:val="0"/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 xml:space="preserve">Proposal 1: </w:t>
      </w:r>
    </w:p>
    <w:p>
      <w:pPr>
        <w:numPr>
          <w:ilvl w:val="0"/>
          <w:numId w:val="10"/>
        </w:numPr>
        <w:bidi w:val="0"/>
        <w:ind w:left="420" w:leftChars="0" w:hanging="420" w:firstLineChars="0"/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hint="default"/>
          <w:b/>
          <w:bCs/>
          <w:sz w:val="20"/>
          <w:szCs w:val="18"/>
          <w:lang w:val="en-US" w:eastAsia="zh-CN"/>
        </w:rPr>
        <w:t>For NS_01 and NS_02N, 3 MHz channel bandwidth shall be introduced to Table 6.2.3.1-1, but no A-MPR is needed to be defined.</w:t>
      </w:r>
    </w:p>
    <w:p>
      <w:pPr>
        <w:numPr>
          <w:ilvl w:val="0"/>
          <w:numId w:val="10"/>
        </w:numPr>
        <w:bidi w:val="0"/>
        <w:ind w:left="420" w:leftChars="0" w:hanging="420" w:firstLineChars="0"/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hint="default"/>
          <w:b/>
          <w:bCs/>
          <w:sz w:val="20"/>
          <w:szCs w:val="18"/>
          <w:lang w:val="en-US" w:eastAsia="zh-CN"/>
        </w:rPr>
        <w:t>For NS_03N, NS_04N and NS_05N, 3 MHz channel bandwidth shall be introduced to Table 6.2.3.1-1, and A-MPR requirements for 3 MHz channel bandwidth need to be defined for each NS value in the corresponding clause.</w:t>
      </w:r>
    </w:p>
    <w:p>
      <w:pPr>
        <w:numPr>
          <w:ilvl w:val="0"/>
          <w:numId w:val="10"/>
        </w:numPr>
        <w:bidi w:val="0"/>
        <w:ind w:left="420" w:leftChars="0" w:hanging="420" w:firstLineChars="0"/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hint="default"/>
          <w:b/>
          <w:bCs/>
          <w:sz w:val="20"/>
          <w:szCs w:val="18"/>
          <w:lang w:val="en-US" w:eastAsia="zh-CN"/>
        </w:rPr>
        <w:t>For NS_24, 3 MHz channel bandwidth shall be introduced to Table 6.2.3.1-1</w:t>
      </w:r>
      <w:r>
        <w:rPr>
          <w:rFonts w:hint="eastAsia"/>
          <w:b/>
          <w:bCs/>
          <w:sz w:val="20"/>
          <w:szCs w:val="18"/>
          <w:lang w:val="en-US" w:eastAsia="zh-CN"/>
        </w:rPr>
        <w:t>. S</w:t>
      </w:r>
      <w:r>
        <w:rPr>
          <w:rFonts w:hint="default"/>
          <w:b/>
          <w:bCs/>
          <w:sz w:val="20"/>
          <w:szCs w:val="18"/>
          <w:lang w:val="en-US" w:eastAsia="zh-CN"/>
        </w:rPr>
        <w:t xml:space="preserve">pecify A-MPR requirements for 3 MHz channel bandwidth for band n256 in a new clause 6.2.3.X in </w:t>
      </w:r>
      <w:r>
        <w:rPr>
          <w:rFonts w:hint="eastAsia"/>
          <w:b/>
          <w:bCs/>
          <w:sz w:val="20"/>
          <w:szCs w:val="18"/>
          <w:lang w:val="en-US" w:eastAsia="zh-CN"/>
        </w:rPr>
        <w:t>TS</w:t>
      </w:r>
      <w:r>
        <w:rPr>
          <w:rFonts w:hint="default"/>
          <w:b/>
          <w:bCs/>
          <w:sz w:val="20"/>
          <w:szCs w:val="18"/>
          <w:lang w:val="en-US" w:eastAsia="zh-CN"/>
        </w:rPr>
        <w:t xml:space="preserve"> 38.101-5. </w:t>
      </w:r>
    </w:p>
    <w:p>
      <w:pPr>
        <w:bidi w:val="0"/>
        <w:rPr>
          <w:rFonts w:hint="default"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2: For boundary between NR out of band and general spurious emission domain, 6MHz can be reused for NTN less than 5MHz.</w:t>
      </w:r>
    </w:p>
    <w:p>
      <w:pPr>
        <w:numPr>
          <w:ilvl w:val="0"/>
          <w:numId w:val="0"/>
        </w:numPr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 xml:space="preserve">Proposal 3: </w:t>
      </w:r>
      <w:r>
        <w:rPr>
          <w:rFonts w:hint="default"/>
          <w:b/>
          <w:bCs/>
          <w:sz w:val="20"/>
          <w:szCs w:val="18"/>
          <w:lang w:val="en-US" w:eastAsia="zh-CN"/>
        </w:rPr>
        <w:t xml:space="preserve">For the additional spurious emissions requirements, add 3 MHz CBW into: </w:t>
      </w:r>
    </w:p>
    <w:p>
      <w:pPr>
        <w:numPr>
          <w:ilvl w:val="0"/>
          <w:numId w:val="10"/>
        </w:numPr>
        <w:bidi w:val="0"/>
        <w:ind w:left="420" w:leftChars="0" w:hanging="420" w:firstLineChars="0"/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hint="default"/>
          <w:b/>
          <w:bCs/>
          <w:sz w:val="20"/>
          <w:szCs w:val="18"/>
          <w:lang w:val="en-US" w:eastAsia="zh-CN"/>
        </w:rPr>
        <w:t>Table 6.5.3.3.2-1: Additional requirements for "NS_02N";</w:t>
      </w:r>
    </w:p>
    <w:p>
      <w:pPr>
        <w:numPr>
          <w:ilvl w:val="0"/>
          <w:numId w:val="10"/>
        </w:numPr>
        <w:bidi w:val="0"/>
        <w:ind w:left="420" w:leftChars="0" w:hanging="420" w:firstLineChars="0"/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hint="default"/>
          <w:b/>
          <w:bCs/>
          <w:sz w:val="20"/>
          <w:szCs w:val="18"/>
          <w:lang w:val="en-US" w:eastAsia="zh-CN"/>
        </w:rPr>
        <w:t>Table 6.5.3.3.3-1: Additional out-of-band requirements for "NS_03N";</w:t>
      </w:r>
    </w:p>
    <w:p>
      <w:pPr>
        <w:numPr>
          <w:ilvl w:val="0"/>
          <w:numId w:val="10"/>
        </w:numPr>
        <w:bidi w:val="0"/>
        <w:ind w:left="420" w:leftChars="0" w:hanging="420" w:firstLineChars="0"/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hint="default"/>
          <w:b/>
          <w:bCs/>
          <w:sz w:val="20"/>
          <w:szCs w:val="18"/>
          <w:lang w:val="en-US" w:eastAsia="zh-CN"/>
        </w:rPr>
        <w:t>Table 6.5.3.3.4-1: Additional out-of-band requirements for "NS_04N" and "NS_05N"</w:t>
      </w:r>
      <w:r>
        <w:rPr>
          <w:rFonts w:hint="eastAsia"/>
          <w:b/>
          <w:bCs/>
          <w:sz w:val="20"/>
          <w:szCs w:val="18"/>
          <w:lang w:val="en-US" w:eastAsia="zh-CN"/>
        </w:rPr>
        <w:t>;</w:t>
      </w:r>
    </w:p>
    <w:p>
      <w:pPr>
        <w:numPr>
          <w:ilvl w:val="0"/>
          <w:numId w:val="10"/>
        </w:numPr>
        <w:bidi w:val="0"/>
        <w:ind w:left="420" w:leftChars="0" w:hanging="420" w:firstLineChars="0"/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hint="default"/>
          <w:b/>
          <w:bCs/>
          <w:sz w:val="20"/>
          <w:szCs w:val="18"/>
          <w:lang w:val="en-US" w:eastAsia="zh-CN"/>
        </w:rPr>
        <w:t>Add Table 6.5.3.3.5-1</w:t>
      </w:r>
      <w:r>
        <w:rPr>
          <w:rFonts w:hint="eastAsia"/>
          <w:b/>
          <w:bCs/>
          <w:sz w:val="20"/>
          <w:szCs w:val="18"/>
          <w:lang w:val="en-US" w:eastAsia="zh-CN"/>
        </w:rPr>
        <w:t>:</w:t>
      </w:r>
      <w:r>
        <w:rPr>
          <w:rFonts w:hint="default"/>
          <w:b/>
          <w:bCs/>
          <w:sz w:val="20"/>
          <w:szCs w:val="18"/>
          <w:lang w:val="en-US" w:eastAsia="zh-CN"/>
        </w:rPr>
        <w:t xml:space="preserve"> Additional out-of-band requirements for "NS_24"</w:t>
      </w:r>
    </w:p>
    <w:p>
      <w:pPr>
        <w:numPr>
          <w:ilvl w:val="0"/>
          <w:numId w:val="0"/>
        </w:numPr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4: REFSENS for 3MHz can be defined as Table 2-1 and uplink configuration for REFSENS can be defined as Table 2-2.</w:t>
      </w:r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2</w:t>
      </w:r>
      <w:r>
        <w:t>-1: Two antenna port reference sensitivity QPSK PREFSENS for FDD bands</w:t>
      </w:r>
    </w:p>
    <w:tbl>
      <w:tblPr>
        <w:tblStyle w:val="23"/>
        <w:tblW w:w="99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629"/>
        <w:gridCol w:w="76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996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>
            <w:pPr>
              <w:pStyle w:val="6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FF"/>
                <w:lang w:val="en-US" w:eastAsia="zh-CN"/>
              </w:rPr>
              <w:t>-101.7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r>
              <w:rPr>
                <w:rFonts w:hint="eastAsia" w:cs="Arial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hint="eastAsia" w:cs="Arial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hint="eastAsia" w:cs="Arial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FF"/>
                <w:lang w:val="en-US" w:eastAsia="zh-CN"/>
              </w:rPr>
              <w:t>-102.2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FF"/>
                <w:lang w:val="en-US" w:eastAsia="zh-CN"/>
              </w:rPr>
              <w:t>-101.7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  <w:r>
              <w:rPr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96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rFonts w:hint="eastAsia"/>
                <w:lang w:eastAsia="en-GB"/>
              </w:rPr>
              <w:t>：</w:t>
            </w:r>
            <w:r>
              <w:rPr>
                <w:lang w:eastAsia="en-GB"/>
              </w:rPr>
              <w:t>The transmitter shall be set to P</w:t>
            </w:r>
            <w:r>
              <w:rPr>
                <w:vertAlign w:val="subscript"/>
                <w:lang w:eastAsia="en-GB"/>
              </w:rPr>
              <w:t>UMAX</w:t>
            </w:r>
            <w:r>
              <w:rPr>
                <w:lang w:eastAsia="en-GB"/>
              </w:rPr>
              <w:t xml:space="preserve"> as defined in clause 6.2.4 </w:t>
            </w:r>
            <w:r>
              <w:t>of 3GPP TS 38.101-1 [5].</w:t>
            </w:r>
          </w:p>
        </w:tc>
      </w:tr>
    </w:tbl>
    <w:p>
      <w:pPr>
        <w:pStyle w:val="56"/>
      </w:pPr>
      <w:r>
        <w:t>Table 2-2: Uplink configuration for reference sensitivity</w:t>
      </w:r>
    </w:p>
    <w:tbl>
      <w:tblPr>
        <w:tblStyle w:val="23"/>
        <w:tblW w:w="50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846"/>
        <w:gridCol w:w="846"/>
        <w:gridCol w:w="847"/>
        <w:gridCol w:w="847"/>
        <w:gridCol w:w="847"/>
        <w:gridCol w:w="847"/>
        <w:gridCol w:w="3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color w:val="0000FF"/>
                <w:szCs w:val="18"/>
                <w:lang w:val="en-US" w:eastAsia="zh-CN"/>
              </w:rPr>
              <w:t>15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1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17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17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color w:val="0000FF"/>
                <w:szCs w:val="18"/>
                <w:lang w:val="en-US" w:eastAsia="zh-CN"/>
              </w:rPr>
              <w:t>15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vertAlign w:val="superscript"/>
                <w:lang w:val="fr-FR" w:eastAsia="en-GB"/>
              </w:rPr>
            </w:pPr>
            <w:r>
              <w:rPr>
                <w:lang w:val="fr-FR" w:eastAsia="en-GB"/>
              </w:rPr>
              <w:t>75</w:t>
            </w:r>
            <w:r>
              <w:rPr>
                <w:vertAlign w:val="superscript"/>
                <w:lang w:val="fr-FR" w:eastAsia="en-GB"/>
              </w:rPr>
              <w:t>2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val="fr-FR" w:eastAsia="en-GB"/>
              </w:rPr>
              <w:t>50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1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n255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vertAlign w:val="superscript"/>
                <w:lang w:val="fr-FR" w:eastAsia="en-GB"/>
              </w:rPr>
            </w:pPr>
            <w:r>
              <w:rPr>
                <w:lang w:val="fr-FR" w:eastAsia="en-GB"/>
              </w:rPr>
              <w:t>36</w:t>
            </w:r>
            <w:r>
              <w:rPr>
                <w:vertAlign w:val="superscript"/>
                <w:lang w:val="fr-FR" w:eastAsia="en-GB"/>
              </w:rPr>
              <w:t>2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val="fr-FR" w:eastAsia="en-GB"/>
              </w:rPr>
              <w:t>24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17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vertAlign w:val="superscript"/>
                <w:lang w:val="fr-FR" w:eastAsia="en-GB"/>
              </w:rPr>
            </w:pPr>
            <w:r>
              <w:rPr>
                <w:lang w:val="fr-FR" w:eastAsia="en-GB"/>
              </w:rPr>
              <w:t>18</w:t>
            </w:r>
            <w:r>
              <w:rPr>
                <w:vertAlign w:val="superscript"/>
                <w:lang w:val="fr-FR" w:eastAsia="en-GB"/>
              </w:rPr>
              <w:t>2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val="fr-FR" w:eastAsia="en-GB"/>
              </w:rPr>
              <w:t>10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17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1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color w:val="0000FF"/>
                <w:szCs w:val="18"/>
                <w:lang w:val="en-US" w:eastAsia="zh-CN"/>
              </w:rPr>
              <w:t>15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1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n254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UL resource blocks shall be located as close as possible to the downlink operating band but confined within the transmission bandwidth configuration for the channel bandwidth in Table 5.3.2-1.</w:t>
            </w:r>
          </w:p>
        </w:tc>
      </w:tr>
    </w:tbl>
    <w:p>
      <w:pPr>
        <w:numPr>
          <w:ilvl w:val="0"/>
          <w:numId w:val="0"/>
        </w:numPr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5: For maximum input level, reuse the requirements for 5MHz, 10MHz, 15MHz and 20MHz of NTN FR1 UE (-40dBm).</w:t>
      </w:r>
    </w:p>
    <w:p>
      <w:pPr>
        <w:numPr>
          <w:ilvl w:val="0"/>
          <w:numId w:val="0"/>
        </w:numPr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6: For ACS, 3 MHz shall be added to table 7.5-1 into the same column as for 5 and 10 MHz channel BW. For tables 7.5-2 and 7.5-3, 3 MHz channel BW shall also be added but considering a 3 MHz interferer BW and 3/-3 interferer offset, which are shown in the following tables.</w:t>
      </w:r>
    </w:p>
    <w:p>
      <w:pPr>
        <w:pStyle w:val="56"/>
      </w:pPr>
      <w:r>
        <w:t>Table 7.5-1: ACS for NR satellite bands with F</w:t>
      </w:r>
      <w:r>
        <w:rPr>
          <w:vertAlign w:val="subscript"/>
        </w:rPr>
        <w:t>DL_high</w:t>
      </w:r>
      <w:r>
        <w:t xml:space="preserve"> &lt; 2700 MHz and F</w:t>
      </w:r>
      <w:r>
        <w:rPr>
          <w:vertAlign w:val="subscript"/>
        </w:rPr>
        <w:t>UL_high</w:t>
      </w:r>
      <w:r>
        <w:t xml:space="preserve"> &lt; 2700 MHz</w:t>
      </w:r>
    </w:p>
    <w:tbl>
      <w:tblPr>
        <w:tblStyle w:val="23"/>
        <w:tblW w:w="5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874"/>
        <w:gridCol w:w="1065"/>
        <w:gridCol w:w="1065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170" w:type="dxa"/>
            <w:vMerge w:val="restart"/>
            <w:shd w:val="clear" w:color="auto" w:fill="auto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RX parameter</w:t>
            </w:r>
          </w:p>
        </w:tc>
        <w:tc>
          <w:tcPr>
            <w:tcW w:w="874" w:type="dxa"/>
            <w:vMerge w:val="restart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Units</w:t>
            </w:r>
          </w:p>
        </w:tc>
        <w:tc>
          <w:tcPr>
            <w:tcW w:w="3196" w:type="dxa"/>
            <w:gridSpan w:val="3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170" w:type="dxa"/>
            <w:vMerge w:val="continue"/>
            <w:shd w:val="clear" w:color="auto" w:fill="auto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</w:p>
        </w:tc>
        <w:tc>
          <w:tcPr>
            <w:tcW w:w="874" w:type="dxa"/>
            <w:vMerge w:val="continue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</w:p>
        </w:tc>
        <w:tc>
          <w:tcPr>
            <w:tcW w:w="1065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rPr>
                <w:rFonts w:hint="eastAsia" w:eastAsia="宋体"/>
                <w:color w:val="0000FF"/>
                <w:lang w:val="en-US" w:eastAsia="zh-CN"/>
              </w:rPr>
              <w:t>3,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5, 10</w:t>
            </w:r>
          </w:p>
        </w:tc>
        <w:tc>
          <w:tcPr>
            <w:tcW w:w="1065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15</w:t>
            </w:r>
          </w:p>
        </w:tc>
        <w:tc>
          <w:tcPr>
            <w:tcW w:w="1066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170" w:type="dxa"/>
            <w:shd w:val="clear" w:color="auto" w:fill="auto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ACS</w:t>
            </w:r>
          </w:p>
        </w:tc>
        <w:tc>
          <w:tcPr>
            <w:tcW w:w="874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dB</w:t>
            </w:r>
          </w:p>
        </w:tc>
        <w:tc>
          <w:tcPr>
            <w:tcW w:w="1065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33</w:t>
            </w:r>
          </w:p>
        </w:tc>
        <w:tc>
          <w:tcPr>
            <w:tcW w:w="1065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30</w:t>
            </w:r>
          </w:p>
        </w:tc>
        <w:tc>
          <w:tcPr>
            <w:tcW w:w="1066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27</w:t>
            </w:r>
          </w:p>
        </w:tc>
      </w:tr>
    </w:tbl>
    <w:p/>
    <w:p>
      <w:pPr>
        <w:pStyle w:val="56"/>
      </w:pPr>
      <w:r>
        <w:t>Table 7.5-2: Test parameters for NR bands with F</w:t>
      </w:r>
      <w:r>
        <w:rPr>
          <w:vertAlign w:val="subscript"/>
        </w:rPr>
        <w:t xml:space="preserve">DL_high </w:t>
      </w:r>
      <w:r>
        <w:t>&lt; 2700 MHz and F</w:t>
      </w:r>
      <w:r>
        <w:rPr>
          <w:vertAlign w:val="subscript"/>
        </w:rPr>
        <w:t xml:space="preserve">UL_high </w:t>
      </w:r>
      <w:r>
        <w:t>&lt; 2700 MHz, case 1</w:t>
      </w:r>
    </w:p>
    <w:tbl>
      <w:tblPr>
        <w:tblStyle w:val="24"/>
        <w:tblW w:w="89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2"/>
        <w:gridCol w:w="1134"/>
        <w:gridCol w:w="1333"/>
        <w:gridCol w:w="1510"/>
        <w:gridCol w:w="1470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2" w:type="dxa"/>
            <w:vMerge w:val="restart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RX parameter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Units</w:t>
            </w:r>
          </w:p>
        </w:tc>
        <w:tc>
          <w:tcPr>
            <w:tcW w:w="5765" w:type="dxa"/>
            <w:gridSpan w:val="4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2" w:type="dxa"/>
            <w:vMerge w:val="continue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</w:p>
        </w:tc>
        <w:tc>
          <w:tcPr>
            <w:tcW w:w="1333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color w:val="0000FF"/>
                <w:lang w:val="en-US" w:eastAsia="zh-CN"/>
              </w:rPr>
              <w:t>3</w:t>
            </w:r>
          </w:p>
        </w:tc>
        <w:tc>
          <w:tcPr>
            <w:tcW w:w="1510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5, 10</w:t>
            </w:r>
          </w:p>
        </w:tc>
        <w:tc>
          <w:tcPr>
            <w:tcW w:w="1470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15</w:t>
            </w:r>
          </w:p>
        </w:tc>
        <w:tc>
          <w:tcPr>
            <w:tcW w:w="1452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Power in transmission bandwidth configuration</w:t>
            </w:r>
          </w:p>
        </w:tc>
        <w:tc>
          <w:tcPr>
            <w:tcW w:w="1134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dBm</w:t>
            </w:r>
          </w:p>
        </w:tc>
        <w:tc>
          <w:tcPr>
            <w:tcW w:w="5765" w:type="dxa"/>
            <w:gridSpan w:val="4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REFSENS + 14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P</w:t>
            </w:r>
            <w:r>
              <w:rPr>
                <w:vertAlign w:val="subscript"/>
              </w:rPr>
              <w:t>interferer</w:t>
            </w:r>
            <w:r>
              <w:rPr>
                <w:rFonts w:asciiTheme="minorEastAsia" w:hAnsiTheme="minorEastAsia" w:eastAsiaTheme="minorEastAsia"/>
                <w:vertAlign w:val="superscript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dBm</w:t>
            </w:r>
          </w:p>
        </w:tc>
        <w:tc>
          <w:tcPr>
            <w:tcW w:w="2843" w:type="dxa"/>
            <w:gridSpan w:val="2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REFSENS + 45.5 dB</w:t>
            </w:r>
          </w:p>
        </w:tc>
        <w:tc>
          <w:tcPr>
            <w:tcW w:w="1470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REFSENS + 42.5 dB</w:t>
            </w:r>
          </w:p>
        </w:tc>
        <w:tc>
          <w:tcPr>
            <w:tcW w:w="145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REFSENS + 39.5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BW</w:t>
            </w:r>
            <w:r>
              <w:rPr>
                <w:vertAlign w:val="subscript"/>
              </w:rPr>
              <w:t>interferer</w:t>
            </w:r>
          </w:p>
        </w:tc>
        <w:tc>
          <w:tcPr>
            <w:tcW w:w="1134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MHz</w:t>
            </w:r>
          </w:p>
        </w:tc>
        <w:tc>
          <w:tcPr>
            <w:tcW w:w="1333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eastAsiaTheme="minorEastAsia"/>
                <w:color w:val="0000FF"/>
                <w:lang w:val="en-US" w:eastAsia="zh-CN"/>
              </w:rPr>
              <w:t>3</w:t>
            </w:r>
          </w:p>
        </w:tc>
        <w:tc>
          <w:tcPr>
            <w:tcW w:w="4432" w:type="dxa"/>
            <w:gridSpan w:val="3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F</w:t>
            </w:r>
            <w:r>
              <w:rPr>
                <w:vertAlign w:val="subscript"/>
              </w:rPr>
              <w:t xml:space="preserve">interferer </w:t>
            </w:r>
            <w:r>
              <w:t>(offset)</w:t>
            </w:r>
            <w:r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MHz</w:t>
            </w:r>
          </w:p>
        </w:tc>
        <w:tc>
          <w:tcPr>
            <w:tcW w:w="1333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rPr>
                <w:color w:val="0000FF"/>
              </w:rPr>
              <w:t>3 /- 3</w:t>
            </w:r>
          </w:p>
        </w:tc>
        <w:tc>
          <w:tcPr>
            <w:tcW w:w="4432" w:type="dxa"/>
            <w:gridSpan w:val="3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BW</w:t>
            </w:r>
            <w:r>
              <w:rPr>
                <w:sz w:val="12"/>
                <w:szCs w:val="12"/>
              </w:rPr>
              <w:t xml:space="preserve">Channel </w:t>
            </w:r>
            <w:r>
              <w:t>/2 + 2.5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/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-(BW</w:t>
            </w:r>
            <w:r>
              <w:rPr>
                <w:sz w:val="12"/>
                <w:szCs w:val="12"/>
              </w:rPr>
              <w:t xml:space="preserve">Channel </w:t>
            </w:r>
            <w:r>
              <w:t>/2 + 2.5)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1" w:type="dxa"/>
            <w:gridSpan w:val="6"/>
          </w:tcPr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NOTE 1:</w:t>
            </w:r>
            <w:r>
              <w:tab/>
            </w:r>
            <w:r>
              <w:t>The transmitter shall be set to 4 dB below P</w:t>
            </w:r>
            <w:r>
              <w:rPr>
                <w:vertAlign w:val="subscript"/>
              </w:rPr>
              <w:t xml:space="preserve">CMAX_L,f,c </w:t>
            </w:r>
            <w:r>
              <w:t>at the minimum UL configuration specified in clause 7.3.2 with P</w:t>
            </w:r>
            <w:r>
              <w:rPr>
                <w:vertAlign w:val="subscript"/>
              </w:rPr>
              <w:t xml:space="preserve">CMAX_L,f,c </w:t>
            </w:r>
            <w:r>
              <w:t>defined in clause 6.2.4.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NOTE 2:</w:t>
            </w:r>
            <w:r>
              <w:tab/>
            </w:r>
            <w:r>
              <w:t>The absolute value of the interferer offset F</w:t>
            </w:r>
            <w:r>
              <w:rPr>
                <w:vertAlign w:val="subscript"/>
              </w:rPr>
              <w:t xml:space="preserve">interferer </w:t>
            </w:r>
            <w:r>
              <w:t xml:space="preserve">(offset) shall be further adjusted to </w:t>
            </w:r>
            <w:r>
              <w:rPr>
                <w:rFonts w:eastAsia="Osaka"/>
              </w:rPr>
              <w:object>
                <v:shape id="_x0000_i1027" o:spt="75" type="#_x0000_t75" style="height:11pt;width:114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5">
                  <o:LockedField>false</o:LockedField>
                </o:OLEObject>
              </w:object>
            </w:r>
            <w:r>
              <w:t>MHz with SCS the sub-carrier spacing of the wanted signal in MHz. The interferer is an NR signal with 15 kHz SCS.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NOTE 3:</w:t>
            </w:r>
            <w:r>
              <w:tab/>
            </w:r>
            <w:r>
              <w:t>The interferer consists of the NR interferer RMC specified in 3GPP TS 38.101-1 [5] Annex A.3.2.2 with one sided dynamic OCNG Pattern OP.1 FDD for the DL-signal as described in 3GPP TS 38.101-1 [5] Annex A.5.1.1.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NOTE 4: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interferer</w:t>
            </w:r>
            <w:r>
              <w:t xml:space="preserve"> shall be rounded to the next higher 0.5dB value.</w:t>
            </w:r>
          </w:p>
        </w:tc>
      </w:tr>
    </w:tbl>
    <w:p/>
    <w:p>
      <w:pPr>
        <w:pStyle w:val="56"/>
      </w:pPr>
      <w:r>
        <w:t>Table 7.5-3: Test parameters for NR bands with F</w:t>
      </w:r>
      <w:r>
        <w:rPr>
          <w:vertAlign w:val="subscript"/>
        </w:rPr>
        <w:t>DL_high</w:t>
      </w:r>
      <w:r>
        <w:t xml:space="preserve"> &lt; 2700 MHz and F</w:t>
      </w:r>
      <w:r>
        <w:rPr>
          <w:vertAlign w:val="subscript"/>
        </w:rPr>
        <w:t>UL_high</w:t>
      </w:r>
      <w:r>
        <w:t xml:space="preserve"> &lt; 2700 MHz, case 2</w:t>
      </w:r>
    </w:p>
    <w:tbl>
      <w:tblPr>
        <w:tblStyle w:val="24"/>
        <w:tblW w:w="8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3"/>
        <w:gridCol w:w="1197"/>
        <w:gridCol w:w="1283"/>
        <w:gridCol w:w="1490"/>
        <w:gridCol w:w="1520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3" w:type="dxa"/>
            <w:vMerge w:val="restart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RX parameter</w:t>
            </w:r>
          </w:p>
        </w:tc>
        <w:tc>
          <w:tcPr>
            <w:tcW w:w="1197" w:type="dxa"/>
            <w:vMerge w:val="restart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Units</w:t>
            </w:r>
          </w:p>
        </w:tc>
        <w:tc>
          <w:tcPr>
            <w:tcW w:w="5748" w:type="dxa"/>
            <w:gridSpan w:val="4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3" w:type="dxa"/>
            <w:vMerge w:val="continue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</w:p>
        </w:tc>
        <w:tc>
          <w:tcPr>
            <w:tcW w:w="1197" w:type="dxa"/>
            <w:vMerge w:val="continue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</w:p>
        </w:tc>
        <w:tc>
          <w:tcPr>
            <w:tcW w:w="1283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eastAsia" w:eastAsia="宋体"/>
                <w:lang w:val="en-US" w:eastAsia="zh-CN"/>
              </w:rPr>
            </w:pPr>
            <w:bookmarkStart w:id="5" w:name="_GoBack"/>
            <w:r>
              <w:rPr>
                <w:rFonts w:hint="eastAsia" w:eastAsia="宋体"/>
                <w:color w:val="0000FF"/>
                <w:lang w:val="en-US" w:eastAsia="zh-CN"/>
              </w:rPr>
              <w:t>3</w:t>
            </w:r>
            <w:bookmarkEnd w:id="5"/>
          </w:p>
        </w:tc>
        <w:tc>
          <w:tcPr>
            <w:tcW w:w="1490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5, 10</w:t>
            </w:r>
          </w:p>
        </w:tc>
        <w:tc>
          <w:tcPr>
            <w:tcW w:w="1520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15</w:t>
            </w:r>
          </w:p>
        </w:tc>
        <w:tc>
          <w:tcPr>
            <w:tcW w:w="1455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3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Power in transmission bandwidth configuration</w:t>
            </w:r>
          </w:p>
        </w:tc>
        <w:tc>
          <w:tcPr>
            <w:tcW w:w="1197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dBm</w:t>
            </w:r>
          </w:p>
        </w:tc>
        <w:tc>
          <w:tcPr>
            <w:tcW w:w="2773" w:type="dxa"/>
            <w:gridSpan w:val="2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lang w:eastAsia="zh-TW"/>
              </w:rPr>
            </w:pPr>
            <w:r>
              <w:t>-</w:t>
            </w:r>
            <w:r>
              <w:rPr>
                <w:rFonts w:eastAsia="Microsoft JhengHei"/>
                <w:lang w:eastAsia="zh-TW"/>
              </w:rPr>
              <w:t>71.5</w:t>
            </w:r>
          </w:p>
        </w:tc>
        <w:tc>
          <w:tcPr>
            <w:tcW w:w="1520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-68.5</w:t>
            </w:r>
          </w:p>
        </w:tc>
        <w:tc>
          <w:tcPr>
            <w:tcW w:w="1455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-65.5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33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P</w:t>
            </w:r>
            <w:r>
              <w:rPr>
                <w:vertAlign w:val="subscript"/>
              </w:rPr>
              <w:t>interferer</w:t>
            </w:r>
          </w:p>
        </w:tc>
        <w:tc>
          <w:tcPr>
            <w:tcW w:w="1197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dBm</w:t>
            </w:r>
          </w:p>
        </w:tc>
        <w:tc>
          <w:tcPr>
            <w:tcW w:w="5748" w:type="dxa"/>
            <w:gridSpan w:val="4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Theme="minorEastAsia"/>
                <w:lang w:eastAsia="zh-TW"/>
              </w:rPr>
            </w:pPr>
            <w:r>
              <w:rPr>
                <w:rFonts w:hint="eastAsia" w:eastAsiaTheme="minorEastAsia"/>
                <w:lang w:eastAsia="zh-TW"/>
              </w:rPr>
              <w:t>-</w:t>
            </w:r>
            <w:r>
              <w:rPr>
                <w:rFonts w:eastAsiaTheme="minorEastAsia"/>
                <w:lang w:eastAsia="zh-TW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3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BW</w:t>
            </w:r>
            <w:r>
              <w:rPr>
                <w:vertAlign w:val="subscript"/>
              </w:rPr>
              <w:t>interferer</w:t>
            </w:r>
          </w:p>
        </w:tc>
        <w:tc>
          <w:tcPr>
            <w:tcW w:w="1197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MHz</w:t>
            </w:r>
          </w:p>
        </w:tc>
        <w:tc>
          <w:tcPr>
            <w:tcW w:w="1283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eastAsiaTheme="minorEastAsia"/>
                <w:color w:val="0000FF"/>
                <w:lang w:val="en-US" w:eastAsia="zh-CN"/>
              </w:rPr>
              <w:t>3</w:t>
            </w:r>
          </w:p>
        </w:tc>
        <w:tc>
          <w:tcPr>
            <w:tcW w:w="4465" w:type="dxa"/>
            <w:gridSpan w:val="3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3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F</w:t>
            </w:r>
            <w:r>
              <w:rPr>
                <w:vertAlign w:val="subscript"/>
              </w:rPr>
              <w:t xml:space="preserve">interferer </w:t>
            </w:r>
            <w:r>
              <w:t>(offset)</w:t>
            </w:r>
          </w:p>
        </w:tc>
        <w:tc>
          <w:tcPr>
            <w:tcW w:w="1197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MHz</w:t>
            </w:r>
          </w:p>
        </w:tc>
        <w:tc>
          <w:tcPr>
            <w:tcW w:w="1283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rPr>
                <w:color w:val="0000FF"/>
              </w:rPr>
              <w:t>3 /- 3</w:t>
            </w:r>
          </w:p>
        </w:tc>
        <w:tc>
          <w:tcPr>
            <w:tcW w:w="4465" w:type="dxa"/>
            <w:gridSpan w:val="3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BW</w:t>
            </w:r>
            <w:r>
              <w:rPr>
                <w:sz w:val="12"/>
                <w:szCs w:val="12"/>
              </w:rPr>
              <w:t xml:space="preserve">Channel </w:t>
            </w:r>
            <w:r>
              <w:t>/2 + 2.5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/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-(BW</w:t>
            </w:r>
            <w:r>
              <w:rPr>
                <w:sz w:val="12"/>
                <w:szCs w:val="12"/>
              </w:rPr>
              <w:t xml:space="preserve">Channel </w:t>
            </w:r>
            <w:r>
              <w:t>/2 + 2.5)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8" w:type="dxa"/>
            <w:gridSpan w:val="6"/>
          </w:tcPr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NOTE 1:</w:t>
            </w:r>
            <w:r>
              <w:tab/>
            </w:r>
            <w:r>
              <w:t>The transmitter shall be set to 24 dB below P</w:t>
            </w:r>
            <w:r>
              <w:rPr>
                <w:vertAlign w:val="subscript"/>
              </w:rPr>
              <w:t xml:space="preserve">CMAX_L,f,c </w:t>
            </w:r>
            <w:r>
              <w:t>at the minimum UL configuration specified in clause 7.3.2 with P</w:t>
            </w:r>
            <w:r>
              <w:rPr>
                <w:vertAlign w:val="subscript"/>
              </w:rPr>
              <w:t xml:space="preserve">CMAX_L,f,c </w:t>
            </w:r>
            <w:r>
              <w:t>defined in clause 6.2.4.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NOTE 2:</w:t>
            </w:r>
            <w:r>
              <w:tab/>
            </w:r>
            <w:r>
              <w:t>The absolute value of the interferer offset F</w:t>
            </w:r>
            <w:r>
              <w:rPr>
                <w:vertAlign w:val="subscript"/>
              </w:rPr>
              <w:t xml:space="preserve">interferer </w:t>
            </w:r>
            <w:r>
              <w:t xml:space="preserve">(offset) shall be further adjusted to </w:t>
            </w:r>
            <w:r>
              <w:rPr>
                <w:rFonts w:eastAsia="Osaka"/>
              </w:rPr>
              <w:object>
                <v:shape id="_x0000_i1028" o:spt="75" type="#_x0000_t75" style="height:11pt;width:114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6">
                  <o:LockedField>false</o:LockedField>
                </o:OLEObject>
              </w:object>
            </w:r>
            <w:r>
              <w:t>MHz with SCS the sub-carrier spacing of the wanted signal in MHz. The interferer is an NR signal with 15 kHz SCS.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NOTE 3:</w:t>
            </w:r>
            <w:r>
              <w:tab/>
            </w:r>
            <w:r>
              <w:t>The interferer consists of the NR interferer RMC specified in 3GPP TS 38.101-1 [5] Annex A.3.2.2  with one sided dynamic OCNG Pattern OP.1 FDD for the DL-signal as described in 3GPP TS 38.101-1 [5] Annex A.5.1.1.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</w:pPr>
            <w:r>
              <w:t>NOTE 4: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interferer</w:t>
            </w:r>
            <w:r>
              <w:t xml:space="preserve"> shall be rounded to the next higher 0.5dB value.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11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RP-240857, New WID: Enhanced requirements and test methodology for NR and IoT NTN, Huawei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FA44842B"/>
    <w:multiLevelType w:val="singleLevel"/>
    <w:tmpl w:val="FA44842B"/>
    <w:lvl w:ilvl="0" w:tentative="0">
      <w:start w:val="1"/>
      <w:numFmt w:val="bullet"/>
      <w:lvlText w:val="•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3">
    <w:nsid w:val="0B206C21"/>
    <w:multiLevelType w:val="multilevel"/>
    <w:tmpl w:val="0B206C2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-"/>
      <w:lvlJc w:val="left"/>
      <w:pPr>
        <w:ind w:left="1680" w:hanging="420"/>
      </w:pPr>
      <w:rPr>
        <w:rFonts w:hint="default" w:ascii="宋体" w:hAnsi="宋体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5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8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9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6B5B4F67"/>
    <w:multiLevelType w:val="multilevel"/>
    <w:tmpl w:val="6B5B4F67"/>
    <w:lvl w:ilvl="0" w:tentative="0">
      <w:start w:val="1"/>
      <w:numFmt w:val="decimal"/>
      <w:pStyle w:val="12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3"/>
  </w:num>
  <w:num w:numId="9">
    <w:abstractNumId w:val="7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54FE9"/>
    <w:rsid w:val="018A47AD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0D3F16"/>
    <w:rsid w:val="02194364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D6B6A"/>
    <w:rsid w:val="024E43D4"/>
    <w:rsid w:val="02510B5E"/>
    <w:rsid w:val="02566C17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B2575C"/>
    <w:rsid w:val="02D16C80"/>
    <w:rsid w:val="02DC3F9C"/>
    <w:rsid w:val="02E3105C"/>
    <w:rsid w:val="02E63DE2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147E4E"/>
    <w:rsid w:val="03187492"/>
    <w:rsid w:val="031E429F"/>
    <w:rsid w:val="032F336F"/>
    <w:rsid w:val="03317AD0"/>
    <w:rsid w:val="033C68CE"/>
    <w:rsid w:val="033F734A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A77DFA"/>
    <w:rsid w:val="03B339B1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0E0758"/>
    <w:rsid w:val="04142BDC"/>
    <w:rsid w:val="04242D1B"/>
    <w:rsid w:val="04251A4C"/>
    <w:rsid w:val="042D2E97"/>
    <w:rsid w:val="04305EA0"/>
    <w:rsid w:val="04310833"/>
    <w:rsid w:val="04343921"/>
    <w:rsid w:val="04346443"/>
    <w:rsid w:val="043865BF"/>
    <w:rsid w:val="043A14AD"/>
    <w:rsid w:val="044C78D8"/>
    <w:rsid w:val="04537B11"/>
    <w:rsid w:val="04557675"/>
    <w:rsid w:val="04684A28"/>
    <w:rsid w:val="046C0EAE"/>
    <w:rsid w:val="04782230"/>
    <w:rsid w:val="0479507E"/>
    <w:rsid w:val="04894975"/>
    <w:rsid w:val="04922411"/>
    <w:rsid w:val="04A65723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D1D66"/>
    <w:rsid w:val="059D265F"/>
    <w:rsid w:val="059E1515"/>
    <w:rsid w:val="05AD1B88"/>
    <w:rsid w:val="05B92EC1"/>
    <w:rsid w:val="05D05BD2"/>
    <w:rsid w:val="05DB542B"/>
    <w:rsid w:val="05E078B3"/>
    <w:rsid w:val="05E942A3"/>
    <w:rsid w:val="05EA759F"/>
    <w:rsid w:val="05EE6827"/>
    <w:rsid w:val="0601277E"/>
    <w:rsid w:val="060C5AED"/>
    <w:rsid w:val="06103146"/>
    <w:rsid w:val="06172561"/>
    <w:rsid w:val="061E54DA"/>
    <w:rsid w:val="061E5E22"/>
    <w:rsid w:val="06223FD1"/>
    <w:rsid w:val="062B2FCF"/>
    <w:rsid w:val="063F63E4"/>
    <w:rsid w:val="06460B91"/>
    <w:rsid w:val="0654187C"/>
    <w:rsid w:val="065475DE"/>
    <w:rsid w:val="06556C03"/>
    <w:rsid w:val="06676354"/>
    <w:rsid w:val="06782F84"/>
    <w:rsid w:val="067C28D6"/>
    <w:rsid w:val="068A55C2"/>
    <w:rsid w:val="068E06BC"/>
    <w:rsid w:val="069201CB"/>
    <w:rsid w:val="06956E2E"/>
    <w:rsid w:val="06AC7765"/>
    <w:rsid w:val="06B62C91"/>
    <w:rsid w:val="06B741D9"/>
    <w:rsid w:val="06B756E7"/>
    <w:rsid w:val="06C457B6"/>
    <w:rsid w:val="06CA5532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9002B"/>
    <w:rsid w:val="089B79D9"/>
    <w:rsid w:val="08A44DA6"/>
    <w:rsid w:val="08AA245A"/>
    <w:rsid w:val="08AD2ACC"/>
    <w:rsid w:val="08BA6E24"/>
    <w:rsid w:val="08C024D5"/>
    <w:rsid w:val="08C562FD"/>
    <w:rsid w:val="08CA27B1"/>
    <w:rsid w:val="08E916DF"/>
    <w:rsid w:val="08F473EA"/>
    <w:rsid w:val="08FC0AA5"/>
    <w:rsid w:val="090E2F35"/>
    <w:rsid w:val="091B4FFA"/>
    <w:rsid w:val="092173F4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72595C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55691"/>
    <w:rsid w:val="09F67CD5"/>
    <w:rsid w:val="0A054821"/>
    <w:rsid w:val="0A077A43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3085F"/>
    <w:rsid w:val="0AC85E72"/>
    <w:rsid w:val="0AD542C1"/>
    <w:rsid w:val="0ADD5A20"/>
    <w:rsid w:val="0AE10FD9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267BFC"/>
    <w:rsid w:val="0B2713F4"/>
    <w:rsid w:val="0B334367"/>
    <w:rsid w:val="0B3B1BC1"/>
    <w:rsid w:val="0B3B5196"/>
    <w:rsid w:val="0B3D701F"/>
    <w:rsid w:val="0B3E7DD7"/>
    <w:rsid w:val="0B491629"/>
    <w:rsid w:val="0B4B40F9"/>
    <w:rsid w:val="0B554398"/>
    <w:rsid w:val="0B561995"/>
    <w:rsid w:val="0B5C2C2A"/>
    <w:rsid w:val="0B6148D2"/>
    <w:rsid w:val="0B665E0A"/>
    <w:rsid w:val="0B680DC4"/>
    <w:rsid w:val="0B7C0E60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D0245C"/>
    <w:rsid w:val="0BD20336"/>
    <w:rsid w:val="0BE2291A"/>
    <w:rsid w:val="0C07043D"/>
    <w:rsid w:val="0C1E494F"/>
    <w:rsid w:val="0C3427D0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B94808"/>
    <w:rsid w:val="0CC146A9"/>
    <w:rsid w:val="0CC37BC2"/>
    <w:rsid w:val="0CD62143"/>
    <w:rsid w:val="0CD87ABE"/>
    <w:rsid w:val="0CE26C42"/>
    <w:rsid w:val="0CE632FF"/>
    <w:rsid w:val="0CE76B48"/>
    <w:rsid w:val="0CEB5DBE"/>
    <w:rsid w:val="0CFB523A"/>
    <w:rsid w:val="0D074D4A"/>
    <w:rsid w:val="0D0A3371"/>
    <w:rsid w:val="0D0C5764"/>
    <w:rsid w:val="0D1B1E9C"/>
    <w:rsid w:val="0D1C2E6E"/>
    <w:rsid w:val="0D4B44A1"/>
    <w:rsid w:val="0D6811B4"/>
    <w:rsid w:val="0D6E2620"/>
    <w:rsid w:val="0D704E21"/>
    <w:rsid w:val="0D7F17B3"/>
    <w:rsid w:val="0D7F48FE"/>
    <w:rsid w:val="0D883C88"/>
    <w:rsid w:val="0D8A6002"/>
    <w:rsid w:val="0D9074CF"/>
    <w:rsid w:val="0D936E72"/>
    <w:rsid w:val="0D966BF7"/>
    <w:rsid w:val="0DB54F84"/>
    <w:rsid w:val="0DB84465"/>
    <w:rsid w:val="0DCC3AE8"/>
    <w:rsid w:val="0DD87842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27317"/>
    <w:rsid w:val="0E3352C6"/>
    <w:rsid w:val="0E3A5EE2"/>
    <w:rsid w:val="0E542F3B"/>
    <w:rsid w:val="0E5757F7"/>
    <w:rsid w:val="0E591BF0"/>
    <w:rsid w:val="0E6271DF"/>
    <w:rsid w:val="0E6438B9"/>
    <w:rsid w:val="0E78367D"/>
    <w:rsid w:val="0E8100DC"/>
    <w:rsid w:val="0E81568A"/>
    <w:rsid w:val="0E903E3B"/>
    <w:rsid w:val="0E942250"/>
    <w:rsid w:val="0E963344"/>
    <w:rsid w:val="0E9E6E00"/>
    <w:rsid w:val="0EA40C1C"/>
    <w:rsid w:val="0EAA759E"/>
    <w:rsid w:val="0EAF381F"/>
    <w:rsid w:val="0EB72E4B"/>
    <w:rsid w:val="0ECE6156"/>
    <w:rsid w:val="0EEC6F1D"/>
    <w:rsid w:val="0F0621F6"/>
    <w:rsid w:val="0F103291"/>
    <w:rsid w:val="0F15660A"/>
    <w:rsid w:val="0F1D0EA6"/>
    <w:rsid w:val="0F1D498B"/>
    <w:rsid w:val="0F22242C"/>
    <w:rsid w:val="0F337178"/>
    <w:rsid w:val="0F3B15FC"/>
    <w:rsid w:val="0F41022A"/>
    <w:rsid w:val="0F56743B"/>
    <w:rsid w:val="0F60682C"/>
    <w:rsid w:val="0F661944"/>
    <w:rsid w:val="0F6763D9"/>
    <w:rsid w:val="0F715B2B"/>
    <w:rsid w:val="0F744211"/>
    <w:rsid w:val="0F764270"/>
    <w:rsid w:val="0F7F273F"/>
    <w:rsid w:val="0F7F7919"/>
    <w:rsid w:val="0F8418ED"/>
    <w:rsid w:val="0F8B3A90"/>
    <w:rsid w:val="0F957B47"/>
    <w:rsid w:val="0F98796C"/>
    <w:rsid w:val="0F9F6FA4"/>
    <w:rsid w:val="0FA20284"/>
    <w:rsid w:val="0FA65D5C"/>
    <w:rsid w:val="0FAA75F1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137392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97A08"/>
    <w:rsid w:val="11921373"/>
    <w:rsid w:val="119A72EE"/>
    <w:rsid w:val="119D7849"/>
    <w:rsid w:val="11A615EE"/>
    <w:rsid w:val="11A658F4"/>
    <w:rsid w:val="11B16FA5"/>
    <w:rsid w:val="11B91A57"/>
    <w:rsid w:val="11BA3FAE"/>
    <w:rsid w:val="11C67B8F"/>
    <w:rsid w:val="11CE730E"/>
    <w:rsid w:val="11D815C4"/>
    <w:rsid w:val="11D85BD5"/>
    <w:rsid w:val="11E57D4F"/>
    <w:rsid w:val="11EE7275"/>
    <w:rsid w:val="11F40833"/>
    <w:rsid w:val="11F92DAB"/>
    <w:rsid w:val="11FB6DE4"/>
    <w:rsid w:val="11FC38D5"/>
    <w:rsid w:val="11FD37F5"/>
    <w:rsid w:val="120F1E38"/>
    <w:rsid w:val="1210682D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C7312B"/>
    <w:rsid w:val="12D22971"/>
    <w:rsid w:val="12D469A6"/>
    <w:rsid w:val="12D85654"/>
    <w:rsid w:val="12DF4A87"/>
    <w:rsid w:val="12E265EC"/>
    <w:rsid w:val="12E706B5"/>
    <w:rsid w:val="12EE5106"/>
    <w:rsid w:val="12F777F2"/>
    <w:rsid w:val="1307341C"/>
    <w:rsid w:val="130C40FE"/>
    <w:rsid w:val="130E3629"/>
    <w:rsid w:val="13125197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811975"/>
    <w:rsid w:val="138559AC"/>
    <w:rsid w:val="138F3C22"/>
    <w:rsid w:val="138F7F3A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262E9"/>
    <w:rsid w:val="14632D00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50222BF"/>
    <w:rsid w:val="150F7C33"/>
    <w:rsid w:val="151178FC"/>
    <w:rsid w:val="1515004B"/>
    <w:rsid w:val="151B7C99"/>
    <w:rsid w:val="15207BBA"/>
    <w:rsid w:val="15222DA1"/>
    <w:rsid w:val="15242F45"/>
    <w:rsid w:val="15256B65"/>
    <w:rsid w:val="152F4E1B"/>
    <w:rsid w:val="15477BD7"/>
    <w:rsid w:val="154806E1"/>
    <w:rsid w:val="154D342A"/>
    <w:rsid w:val="15581ED5"/>
    <w:rsid w:val="1559587F"/>
    <w:rsid w:val="155E7DEC"/>
    <w:rsid w:val="15673995"/>
    <w:rsid w:val="15740334"/>
    <w:rsid w:val="1574662E"/>
    <w:rsid w:val="15751882"/>
    <w:rsid w:val="1575191B"/>
    <w:rsid w:val="157818C6"/>
    <w:rsid w:val="159F0B57"/>
    <w:rsid w:val="159F73BB"/>
    <w:rsid w:val="15B03F28"/>
    <w:rsid w:val="15C15E25"/>
    <w:rsid w:val="15C42571"/>
    <w:rsid w:val="15E30A80"/>
    <w:rsid w:val="15EA6ECC"/>
    <w:rsid w:val="15F21B9E"/>
    <w:rsid w:val="15FD2FA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A4319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C178FB"/>
    <w:rsid w:val="17C809DF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E1D37"/>
    <w:rsid w:val="1840126B"/>
    <w:rsid w:val="1846724A"/>
    <w:rsid w:val="184A22E6"/>
    <w:rsid w:val="184D0787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F74015"/>
    <w:rsid w:val="19001FFC"/>
    <w:rsid w:val="19083894"/>
    <w:rsid w:val="190E2B4A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E24986"/>
    <w:rsid w:val="19E256B5"/>
    <w:rsid w:val="19E54655"/>
    <w:rsid w:val="19F061A1"/>
    <w:rsid w:val="19F81E45"/>
    <w:rsid w:val="1A054259"/>
    <w:rsid w:val="1A081816"/>
    <w:rsid w:val="1A0C5680"/>
    <w:rsid w:val="1A165171"/>
    <w:rsid w:val="1A3068A4"/>
    <w:rsid w:val="1A410451"/>
    <w:rsid w:val="1A4858FF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C269A"/>
    <w:rsid w:val="1B9E64C5"/>
    <w:rsid w:val="1B9E6D4C"/>
    <w:rsid w:val="1BB07CEA"/>
    <w:rsid w:val="1BBD43BA"/>
    <w:rsid w:val="1BC01115"/>
    <w:rsid w:val="1BC44015"/>
    <w:rsid w:val="1BC96DA5"/>
    <w:rsid w:val="1BCA6284"/>
    <w:rsid w:val="1BCC6C47"/>
    <w:rsid w:val="1BE32C74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92160B"/>
    <w:rsid w:val="1C973EEF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CF44C9E"/>
    <w:rsid w:val="1D037029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270AC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105A20"/>
    <w:rsid w:val="1E164B52"/>
    <w:rsid w:val="1E26583C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C3647"/>
    <w:rsid w:val="1EBD1EAD"/>
    <w:rsid w:val="1EC36E9D"/>
    <w:rsid w:val="1EE25FDD"/>
    <w:rsid w:val="1EEF7878"/>
    <w:rsid w:val="1EF5103F"/>
    <w:rsid w:val="1EF84A98"/>
    <w:rsid w:val="1EF86BDC"/>
    <w:rsid w:val="1EFF621F"/>
    <w:rsid w:val="1F001DEB"/>
    <w:rsid w:val="1F090F9B"/>
    <w:rsid w:val="1F0A0088"/>
    <w:rsid w:val="1F0E5D6B"/>
    <w:rsid w:val="1F0F2943"/>
    <w:rsid w:val="1F1420D0"/>
    <w:rsid w:val="1F194C88"/>
    <w:rsid w:val="1F323C57"/>
    <w:rsid w:val="1F343977"/>
    <w:rsid w:val="1F390CCB"/>
    <w:rsid w:val="1F3E662A"/>
    <w:rsid w:val="1F4D4715"/>
    <w:rsid w:val="1F4F2219"/>
    <w:rsid w:val="1F614D01"/>
    <w:rsid w:val="1F721405"/>
    <w:rsid w:val="1F935819"/>
    <w:rsid w:val="1FA036A3"/>
    <w:rsid w:val="1FA628A2"/>
    <w:rsid w:val="1FA6556D"/>
    <w:rsid w:val="1FAF2571"/>
    <w:rsid w:val="1FB33036"/>
    <w:rsid w:val="1FC55EDA"/>
    <w:rsid w:val="1FC658C9"/>
    <w:rsid w:val="1FCE593C"/>
    <w:rsid w:val="1FE312AC"/>
    <w:rsid w:val="1FEC5915"/>
    <w:rsid w:val="1FED32EF"/>
    <w:rsid w:val="1FF41CBA"/>
    <w:rsid w:val="1FF82884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773A28"/>
    <w:rsid w:val="208574F4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124D15"/>
    <w:rsid w:val="21164A79"/>
    <w:rsid w:val="211C7DEA"/>
    <w:rsid w:val="213B13E1"/>
    <w:rsid w:val="213E7119"/>
    <w:rsid w:val="21401C29"/>
    <w:rsid w:val="21530058"/>
    <w:rsid w:val="21567D84"/>
    <w:rsid w:val="216608E3"/>
    <w:rsid w:val="21675117"/>
    <w:rsid w:val="21810744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E35D49"/>
    <w:rsid w:val="21F00127"/>
    <w:rsid w:val="21F7745C"/>
    <w:rsid w:val="22035C75"/>
    <w:rsid w:val="221D2FA3"/>
    <w:rsid w:val="2226635F"/>
    <w:rsid w:val="222D4F0B"/>
    <w:rsid w:val="223A29CF"/>
    <w:rsid w:val="223D7545"/>
    <w:rsid w:val="22411D14"/>
    <w:rsid w:val="22423BE1"/>
    <w:rsid w:val="22454449"/>
    <w:rsid w:val="22500810"/>
    <w:rsid w:val="22596EC8"/>
    <w:rsid w:val="2262200E"/>
    <w:rsid w:val="226347BD"/>
    <w:rsid w:val="22682935"/>
    <w:rsid w:val="226E0A7E"/>
    <w:rsid w:val="227E0D30"/>
    <w:rsid w:val="227E36C5"/>
    <w:rsid w:val="227E7CD6"/>
    <w:rsid w:val="228A4698"/>
    <w:rsid w:val="22925971"/>
    <w:rsid w:val="22945167"/>
    <w:rsid w:val="229B0BE2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C1BCA"/>
    <w:rsid w:val="237464D5"/>
    <w:rsid w:val="23816932"/>
    <w:rsid w:val="238E01E4"/>
    <w:rsid w:val="23925D42"/>
    <w:rsid w:val="239C062C"/>
    <w:rsid w:val="23A9484E"/>
    <w:rsid w:val="23B32F98"/>
    <w:rsid w:val="23B84268"/>
    <w:rsid w:val="23D17D7B"/>
    <w:rsid w:val="23D36D91"/>
    <w:rsid w:val="23E02099"/>
    <w:rsid w:val="23F70BA5"/>
    <w:rsid w:val="23F93D0D"/>
    <w:rsid w:val="2405417E"/>
    <w:rsid w:val="24197365"/>
    <w:rsid w:val="241B5C62"/>
    <w:rsid w:val="24312CB0"/>
    <w:rsid w:val="243A6CBE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6388F"/>
    <w:rsid w:val="24967323"/>
    <w:rsid w:val="249D5FC8"/>
    <w:rsid w:val="24A1538E"/>
    <w:rsid w:val="24B9450F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5D45FE"/>
    <w:rsid w:val="25657E8F"/>
    <w:rsid w:val="256658A2"/>
    <w:rsid w:val="25691F8B"/>
    <w:rsid w:val="256E76DE"/>
    <w:rsid w:val="25733F7D"/>
    <w:rsid w:val="25734B61"/>
    <w:rsid w:val="257632D6"/>
    <w:rsid w:val="25855673"/>
    <w:rsid w:val="258F6BC4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1B63E3"/>
    <w:rsid w:val="262519C1"/>
    <w:rsid w:val="262E3CBF"/>
    <w:rsid w:val="26395C92"/>
    <w:rsid w:val="2641231E"/>
    <w:rsid w:val="264252DF"/>
    <w:rsid w:val="26465DA0"/>
    <w:rsid w:val="26562F1C"/>
    <w:rsid w:val="26577EF5"/>
    <w:rsid w:val="265A5249"/>
    <w:rsid w:val="265C53CB"/>
    <w:rsid w:val="266237C3"/>
    <w:rsid w:val="267550B9"/>
    <w:rsid w:val="26996DAE"/>
    <w:rsid w:val="26BE1846"/>
    <w:rsid w:val="26C472EC"/>
    <w:rsid w:val="26E51F4F"/>
    <w:rsid w:val="26E83216"/>
    <w:rsid w:val="26EC491A"/>
    <w:rsid w:val="26ED73E1"/>
    <w:rsid w:val="26F503CD"/>
    <w:rsid w:val="27036506"/>
    <w:rsid w:val="27047832"/>
    <w:rsid w:val="2706037D"/>
    <w:rsid w:val="27077793"/>
    <w:rsid w:val="270D152E"/>
    <w:rsid w:val="271436A9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74216"/>
    <w:rsid w:val="28E87EE4"/>
    <w:rsid w:val="28F61640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32F2E"/>
    <w:rsid w:val="29DE15A2"/>
    <w:rsid w:val="29E0500B"/>
    <w:rsid w:val="29EC475A"/>
    <w:rsid w:val="29EF3680"/>
    <w:rsid w:val="29EF424E"/>
    <w:rsid w:val="29FA7F26"/>
    <w:rsid w:val="2A0B7871"/>
    <w:rsid w:val="2A166823"/>
    <w:rsid w:val="2A35650F"/>
    <w:rsid w:val="2A405845"/>
    <w:rsid w:val="2A4562D4"/>
    <w:rsid w:val="2A4D593F"/>
    <w:rsid w:val="2A575627"/>
    <w:rsid w:val="2A6C2D77"/>
    <w:rsid w:val="2A6E31F8"/>
    <w:rsid w:val="2A7270B7"/>
    <w:rsid w:val="2A7C669D"/>
    <w:rsid w:val="2A87174E"/>
    <w:rsid w:val="2A8A2F9C"/>
    <w:rsid w:val="2AA45D17"/>
    <w:rsid w:val="2AAB3B94"/>
    <w:rsid w:val="2AAC5A06"/>
    <w:rsid w:val="2AB775FB"/>
    <w:rsid w:val="2ABB3D6F"/>
    <w:rsid w:val="2AC70B30"/>
    <w:rsid w:val="2ACC2AAF"/>
    <w:rsid w:val="2ACD717C"/>
    <w:rsid w:val="2AD74744"/>
    <w:rsid w:val="2AD91AC2"/>
    <w:rsid w:val="2AE57C95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725D0"/>
    <w:rsid w:val="2BF369B9"/>
    <w:rsid w:val="2BFC0A4A"/>
    <w:rsid w:val="2C094904"/>
    <w:rsid w:val="2C094E38"/>
    <w:rsid w:val="2C0E55A1"/>
    <w:rsid w:val="2C14030B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722F9A"/>
    <w:rsid w:val="2C797A76"/>
    <w:rsid w:val="2C8B6C0E"/>
    <w:rsid w:val="2C8F4862"/>
    <w:rsid w:val="2C9E5AC8"/>
    <w:rsid w:val="2CA05674"/>
    <w:rsid w:val="2CA2721B"/>
    <w:rsid w:val="2CAC6D87"/>
    <w:rsid w:val="2CB23B2C"/>
    <w:rsid w:val="2CB268EE"/>
    <w:rsid w:val="2CB600FC"/>
    <w:rsid w:val="2CCB6E18"/>
    <w:rsid w:val="2CCF5C52"/>
    <w:rsid w:val="2CE01F07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600E38"/>
    <w:rsid w:val="2E7258DC"/>
    <w:rsid w:val="2E7545D2"/>
    <w:rsid w:val="2E79458E"/>
    <w:rsid w:val="2E797A78"/>
    <w:rsid w:val="2E7A5F31"/>
    <w:rsid w:val="2E7C6A94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A417BA"/>
    <w:rsid w:val="2FA6492D"/>
    <w:rsid w:val="2FC86676"/>
    <w:rsid w:val="2FD17A1B"/>
    <w:rsid w:val="2FD52ACA"/>
    <w:rsid w:val="2FD71CA4"/>
    <w:rsid w:val="2FDC432A"/>
    <w:rsid w:val="2FDC4A8D"/>
    <w:rsid w:val="2FE27109"/>
    <w:rsid w:val="2FEA743A"/>
    <w:rsid w:val="2FF24D11"/>
    <w:rsid w:val="2FF93066"/>
    <w:rsid w:val="301742B2"/>
    <w:rsid w:val="301A1509"/>
    <w:rsid w:val="301A71CE"/>
    <w:rsid w:val="301D63DD"/>
    <w:rsid w:val="301E049B"/>
    <w:rsid w:val="302A4BE6"/>
    <w:rsid w:val="304478EC"/>
    <w:rsid w:val="304F4511"/>
    <w:rsid w:val="30515C8E"/>
    <w:rsid w:val="305823FF"/>
    <w:rsid w:val="30830761"/>
    <w:rsid w:val="30926F91"/>
    <w:rsid w:val="30962F3E"/>
    <w:rsid w:val="30A85733"/>
    <w:rsid w:val="30AA2585"/>
    <w:rsid w:val="30C16A19"/>
    <w:rsid w:val="30C262B6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DE082C"/>
    <w:rsid w:val="31E745D2"/>
    <w:rsid w:val="31EF7EE8"/>
    <w:rsid w:val="3201404F"/>
    <w:rsid w:val="320901F5"/>
    <w:rsid w:val="320B7CCB"/>
    <w:rsid w:val="32105DE8"/>
    <w:rsid w:val="32286907"/>
    <w:rsid w:val="322E2721"/>
    <w:rsid w:val="3235187E"/>
    <w:rsid w:val="3237186B"/>
    <w:rsid w:val="323B6798"/>
    <w:rsid w:val="32495DF1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B52836"/>
    <w:rsid w:val="32DF351E"/>
    <w:rsid w:val="32EE5E41"/>
    <w:rsid w:val="32F1510B"/>
    <w:rsid w:val="32F40F87"/>
    <w:rsid w:val="32F520B9"/>
    <w:rsid w:val="32FD7C76"/>
    <w:rsid w:val="330414AF"/>
    <w:rsid w:val="330C22FC"/>
    <w:rsid w:val="33231081"/>
    <w:rsid w:val="332A6617"/>
    <w:rsid w:val="33540E5D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D5111"/>
    <w:rsid w:val="33BF4199"/>
    <w:rsid w:val="33CD23A8"/>
    <w:rsid w:val="33CD6498"/>
    <w:rsid w:val="33D7554F"/>
    <w:rsid w:val="33D825FA"/>
    <w:rsid w:val="33DB2AB1"/>
    <w:rsid w:val="33FE62E7"/>
    <w:rsid w:val="34080399"/>
    <w:rsid w:val="340D25F6"/>
    <w:rsid w:val="34161D6C"/>
    <w:rsid w:val="341E19AD"/>
    <w:rsid w:val="3429226D"/>
    <w:rsid w:val="342B76C7"/>
    <w:rsid w:val="343A1527"/>
    <w:rsid w:val="34413D46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5237E"/>
    <w:rsid w:val="3499657C"/>
    <w:rsid w:val="34A52713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4F812F7"/>
    <w:rsid w:val="350A65C4"/>
    <w:rsid w:val="350B42D5"/>
    <w:rsid w:val="350F6258"/>
    <w:rsid w:val="351A603C"/>
    <w:rsid w:val="352821F6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E4B0A"/>
    <w:rsid w:val="35866D7F"/>
    <w:rsid w:val="358F6BDF"/>
    <w:rsid w:val="35A26AC9"/>
    <w:rsid w:val="35A440D7"/>
    <w:rsid w:val="35C06D50"/>
    <w:rsid w:val="35CD6F14"/>
    <w:rsid w:val="35D24294"/>
    <w:rsid w:val="35D71152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402EFA"/>
    <w:rsid w:val="36496A51"/>
    <w:rsid w:val="364F7CD0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D0DC4"/>
    <w:rsid w:val="36D51D00"/>
    <w:rsid w:val="36D66B5E"/>
    <w:rsid w:val="36D86634"/>
    <w:rsid w:val="36DE4AF9"/>
    <w:rsid w:val="36E410A4"/>
    <w:rsid w:val="36E93760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130A"/>
    <w:rsid w:val="37A86196"/>
    <w:rsid w:val="37C94031"/>
    <w:rsid w:val="37CA042E"/>
    <w:rsid w:val="37CA2635"/>
    <w:rsid w:val="37D44549"/>
    <w:rsid w:val="37D77B09"/>
    <w:rsid w:val="37D931A8"/>
    <w:rsid w:val="37D97EDE"/>
    <w:rsid w:val="37E76E34"/>
    <w:rsid w:val="380632B2"/>
    <w:rsid w:val="380D02B1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CD22F1"/>
    <w:rsid w:val="38D33D29"/>
    <w:rsid w:val="38D41CCF"/>
    <w:rsid w:val="38E40A5B"/>
    <w:rsid w:val="38E51952"/>
    <w:rsid w:val="38F16A28"/>
    <w:rsid w:val="3913128B"/>
    <w:rsid w:val="391A3359"/>
    <w:rsid w:val="39285D57"/>
    <w:rsid w:val="39295C82"/>
    <w:rsid w:val="39315D4D"/>
    <w:rsid w:val="394B6470"/>
    <w:rsid w:val="395C6EA8"/>
    <w:rsid w:val="39872512"/>
    <w:rsid w:val="39A602F9"/>
    <w:rsid w:val="39BD45C8"/>
    <w:rsid w:val="39C2316A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569C2"/>
    <w:rsid w:val="3BD96AA6"/>
    <w:rsid w:val="3BDB053C"/>
    <w:rsid w:val="3BE4466B"/>
    <w:rsid w:val="3BED002E"/>
    <w:rsid w:val="3C042619"/>
    <w:rsid w:val="3C0429BF"/>
    <w:rsid w:val="3C066389"/>
    <w:rsid w:val="3C0D66FC"/>
    <w:rsid w:val="3C120C48"/>
    <w:rsid w:val="3C1A201A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577D11"/>
    <w:rsid w:val="3C5A6B66"/>
    <w:rsid w:val="3C6472A5"/>
    <w:rsid w:val="3C734413"/>
    <w:rsid w:val="3C7A6E5A"/>
    <w:rsid w:val="3C8869CA"/>
    <w:rsid w:val="3C982C18"/>
    <w:rsid w:val="3CA734F8"/>
    <w:rsid w:val="3CA95F71"/>
    <w:rsid w:val="3CB33ABD"/>
    <w:rsid w:val="3CC16893"/>
    <w:rsid w:val="3CC74223"/>
    <w:rsid w:val="3CC828D0"/>
    <w:rsid w:val="3CCB43BE"/>
    <w:rsid w:val="3CDA6EE3"/>
    <w:rsid w:val="3CDB5F96"/>
    <w:rsid w:val="3CE05245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31576C"/>
    <w:rsid w:val="3D316CDB"/>
    <w:rsid w:val="3D3768D2"/>
    <w:rsid w:val="3D3A3838"/>
    <w:rsid w:val="3D3D6BBD"/>
    <w:rsid w:val="3D404CC7"/>
    <w:rsid w:val="3D450F8C"/>
    <w:rsid w:val="3D477118"/>
    <w:rsid w:val="3D51285A"/>
    <w:rsid w:val="3D594E54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90256"/>
    <w:rsid w:val="3E4C2EC5"/>
    <w:rsid w:val="3E55739E"/>
    <w:rsid w:val="3E6C43C8"/>
    <w:rsid w:val="3E8227F0"/>
    <w:rsid w:val="3E8B6E95"/>
    <w:rsid w:val="3E937F82"/>
    <w:rsid w:val="3E9B4B40"/>
    <w:rsid w:val="3EB71AC8"/>
    <w:rsid w:val="3EC85E34"/>
    <w:rsid w:val="3ECF2AAC"/>
    <w:rsid w:val="3ED0424C"/>
    <w:rsid w:val="3ED07B7E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B0F66"/>
    <w:rsid w:val="40022F93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A163F1"/>
    <w:rsid w:val="40A25054"/>
    <w:rsid w:val="40A325E0"/>
    <w:rsid w:val="40AE30AC"/>
    <w:rsid w:val="40AE7A15"/>
    <w:rsid w:val="40B41AE2"/>
    <w:rsid w:val="40B7228C"/>
    <w:rsid w:val="40BD0DA1"/>
    <w:rsid w:val="40EC7D18"/>
    <w:rsid w:val="40ED11A0"/>
    <w:rsid w:val="40F92E97"/>
    <w:rsid w:val="40FD1BF0"/>
    <w:rsid w:val="41015E92"/>
    <w:rsid w:val="41096BC0"/>
    <w:rsid w:val="410A75B6"/>
    <w:rsid w:val="410B452A"/>
    <w:rsid w:val="41146D26"/>
    <w:rsid w:val="411B6EDC"/>
    <w:rsid w:val="413353F1"/>
    <w:rsid w:val="41464224"/>
    <w:rsid w:val="414C0B0E"/>
    <w:rsid w:val="41513BC9"/>
    <w:rsid w:val="41735B7F"/>
    <w:rsid w:val="419302E2"/>
    <w:rsid w:val="419E558F"/>
    <w:rsid w:val="419E60D3"/>
    <w:rsid w:val="41A25332"/>
    <w:rsid w:val="41A339F5"/>
    <w:rsid w:val="41A36C7E"/>
    <w:rsid w:val="41AA4A84"/>
    <w:rsid w:val="41AD6C24"/>
    <w:rsid w:val="41AF06D0"/>
    <w:rsid w:val="41C45B38"/>
    <w:rsid w:val="41C93F6C"/>
    <w:rsid w:val="41D5139D"/>
    <w:rsid w:val="41D75714"/>
    <w:rsid w:val="41DD3BC3"/>
    <w:rsid w:val="41E535F4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40D3F"/>
    <w:rsid w:val="42273D8C"/>
    <w:rsid w:val="4227435A"/>
    <w:rsid w:val="424154E1"/>
    <w:rsid w:val="42494A4D"/>
    <w:rsid w:val="424B5824"/>
    <w:rsid w:val="42616DD3"/>
    <w:rsid w:val="426973AD"/>
    <w:rsid w:val="426F56CA"/>
    <w:rsid w:val="42702D0D"/>
    <w:rsid w:val="427A67A1"/>
    <w:rsid w:val="427E0B36"/>
    <w:rsid w:val="429F2355"/>
    <w:rsid w:val="42A03D98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30E7E66"/>
    <w:rsid w:val="431C44AA"/>
    <w:rsid w:val="43296963"/>
    <w:rsid w:val="4332317A"/>
    <w:rsid w:val="433246A0"/>
    <w:rsid w:val="433E7EE2"/>
    <w:rsid w:val="433F6B54"/>
    <w:rsid w:val="43424AD7"/>
    <w:rsid w:val="4346543A"/>
    <w:rsid w:val="43533E29"/>
    <w:rsid w:val="43561E16"/>
    <w:rsid w:val="435B1259"/>
    <w:rsid w:val="436263D5"/>
    <w:rsid w:val="437556C4"/>
    <w:rsid w:val="43874CD4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C6F1F"/>
    <w:rsid w:val="43F124F2"/>
    <w:rsid w:val="43FE44BA"/>
    <w:rsid w:val="43FE63A7"/>
    <w:rsid w:val="440656C2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70907"/>
    <w:rsid w:val="455908C0"/>
    <w:rsid w:val="455933A5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530D"/>
    <w:rsid w:val="45C661BC"/>
    <w:rsid w:val="45CA082F"/>
    <w:rsid w:val="45CD2126"/>
    <w:rsid w:val="45CF358A"/>
    <w:rsid w:val="45DD738A"/>
    <w:rsid w:val="45E372CD"/>
    <w:rsid w:val="45FB2D6A"/>
    <w:rsid w:val="460C5979"/>
    <w:rsid w:val="46110AB3"/>
    <w:rsid w:val="46143B66"/>
    <w:rsid w:val="4615371C"/>
    <w:rsid w:val="46185DC7"/>
    <w:rsid w:val="46214325"/>
    <w:rsid w:val="4626398E"/>
    <w:rsid w:val="463246EC"/>
    <w:rsid w:val="463425D3"/>
    <w:rsid w:val="463A3547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80AF8"/>
    <w:rsid w:val="46D37F0B"/>
    <w:rsid w:val="46D6030E"/>
    <w:rsid w:val="46D71533"/>
    <w:rsid w:val="46E53335"/>
    <w:rsid w:val="46E544E3"/>
    <w:rsid w:val="46E61168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6700F2"/>
    <w:rsid w:val="47696F9C"/>
    <w:rsid w:val="47714F1F"/>
    <w:rsid w:val="47725A17"/>
    <w:rsid w:val="47756A03"/>
    <w:rsid w:val="477D3243"/>
    <w:rsid w:val="478821A1"/>
    <w:rsid w:val="479128A9"/>
    <w:rsid w:val="47956820"/>
    <w:rsid w:val="47975EDC"/>
    <w:rsid w:val="47983B19"/>
    <w:rsid w:val="479E2C8A"/>
    <w:rsid w:val="47A3609D"/>
    <w:rsid w:val="47C01792"/>
    <w:rsid w:val="47C57A48"/>
    <w:rsid w:val="47D511BD"/>
    <w:rsid w:val="4808150F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354EC"/>
    <w:rsid w:val="48CF1A39"/>
    <w:rsid w:val="48D429DD"/>
    <w:rsid w:val="48E01C77"/>
    <w:rsid w:val="48E22285"/>
    <w:rsid w:val="48E50D90"/>
    <w:rsid w:val="48EB0B49"/>
    <w:rsid w:val="48EB0D16"/>
    <w:rsid w:val="48F52DAA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8A16CD"/>
    <w:rsid w:val="498A7FB5"/>
    <w:rsid w:val="499145D9"/>
    <w:rsid w:val="499E73C8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9104E"/>
    <w:rsid w:val="4A0244D3"/>
    <w:rsid w:val="4A255046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C13295"/>
    <w:rsid w:val="4AC31003"/>
    <w:rsid w:val="4AC40F4C"/>
    <w:rsid w:val="4AC91D29"/>
    <w:rsid w:val="4AD25F33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59618C"/>
    <w:rsid w:val="4B5B2C7E"/>
    <w:rsid w:val="4B6A74A5"/>
    <w:rsid w:val="4B6F1D56"/>
    <w:rsid w:val="4B7C4100"/>
    <w:rsid w:val="4B830F9B"/>
    <w:rsid w:val="4B8F2DD0"/>
    <w:rsid w:val="4B9B06E8"/>
    <w:rsid w:val="4B9B0C47"/>
    <w:rsid w:val="4B9D4011"/>
    <w:rsid w:val="4BA21D50"/>
    <w:rsid w:val="4BA34CD3"/>
    <w:rsid w:val="4BB36BDD"/>
    <w:rsid w:val="4BB60507"/>
    <w:rsid w:val="4BC32290"/>
    <w:rsid w:val="4BC64C9C"/>
    <w:rsid w:val="4BD0339A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262E0"/>
    <w:rsid w:val="4C6703A3"/>
    <w:rsid w:val="4C6D7518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F52D94"/>
    <w:rsid w:val="4D075911"/>
    <w:rsid w:val="4D0C6B0F"/>
    <w:rsid w:val="4D1216BD"/>
    <w:rsid w:val="4D231A3E"/>
    <w:rsid w:val="4D2822A5"/>
    <w:rsid w:val="4D3C254D"/>
    <w:rsid w:val="4D4001E4"/>
    <w:rsid w:val="4D462159"/>
    <w:rsid w:val="4D47409F"/>
    <w:rsid w:val="4D525BE3"/>
    <w:rsid w:val="4D566017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732D2"/>
    <w:rsid w:val="4DE32B7D"/>
    <w:rsid w:val="4DEC0985"/>
    <w:rsid w:val="4E000105"/>
    <w:rsid w:val="4E0538A3"/>
    <w:rsid w:val="4E0E6818"/>
    <w:rsid w:val="4E27683A"/>
    <w:rsid w:val="4E321D35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6325C4"/>
    <w:rsid w:val="4E635567"/>
    <w:rsid w:val="4E674786"/>
    <w:rsid w:val="4E6D0F25"/>
    <w:rsid w:val="4E6F309C"/>
    <w:rsid w:val="4E710F05"/>
    <w:rsid w:val="4E742982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CD2AFD"/>
    <w:rsid w:val="4EDB58B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E2624"/>
    <w:rsid w:val="4F4E1077"/>
    <w:rsid w:val="4F546156"/>
    <w:rsid w:val="4F5B6F39"/>
    <w:rsid w:val="4F621F24"/>
    <w:rsid w:val="4F64780B"/>
    <w:rsid w:val="4F844A99"/>
    <w:rsid w:val="4F94662C"/>
    <w:rsid w:val="4FAB774E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7055F2"/>
    <w:rsid w:val="507E1B25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B6306"/>
    <w:rsid w:val="50C12EDC"/>
    <w:rsid w:val="50CD2E4B"/>
    <w:rsid w:val="50D8533B"/>
    <w:rsid w:val="50DA0A9E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14696C"/>
    <w:rsid w:val="511B2A99"/>
    <w:rsid w:val="5121766A"/>
    <w:rsid w:val="51230220"/>
    <w:rsid w:val="513F6CC6"/>
    <w:rsid w:val="5147175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F6353C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24532"/>
    <w:rsid w:val="52A611A1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F425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983DEB"/>
    <w:rsid w:val="54B06F11"/>
    <w:rsid w:val="54B56DF4"/>
    <w:rsid w:val="54B93943"/>
    <w:rsid w:val="54BE5578"/>
    <w:rsid w:val="54BF52B5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748F2"/>
    <w:rsid w:val="554D414C"/>
    <w:rsid w:val="554E7279"/>
    <w:rsid w:val="55594FFB"/>
    <w:rsid w:val="55637CEB"/>
    <w:rsid w:val="55677DDA"/>
    <w:rsid w:val="556A71C0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C022B"/>
    <w:rsid w:val="560D5F48"/>
    <w:rsid w:val="56106284"/>
    <w:rsid w:val="56182852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F05010"/>
    <w:rsid w:val="56FB2A68"/>
    <w:rsid w:val="57011F3E"/>
    <w:rsid w:val="57050D7B"/>
    <w:rsid w:val="5705646B"/>
    <w:rsid w:val="57060649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A33734"/>
    <w:rsid w:val="57AB6ADD"/>
    <w:rsid w:val="57B7178E"/>
    <w:rsid w:val="57B76EED"/>
    <w:rsid w:val="57BD72A7"/>
    <w:rsid w:val="57BE5838"/>
    <w:rsid w:val="57BF764E"/>
    <w:rsid w:val="57CB35DF"/>
    <w:rsid w:val="57CC77E6"/>
    <w:rsid w:val="57D82354"/>
    <w:rsid w:val="57FC0156"/>
    <w:rsid w:val="57FC07D9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9E7444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21BF9"/>
    <w:rsid w:val="59B37D53"/>
    <w:rsid w:val="59B80C41"/>
    <w:rsid w:val="59BB4EA3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E6670"/>
    <w:rsid w:val="5A912613"/>
    <w:rsid w:val="5A9245E9"/>
    <w:rsid w:val="5A953D41"/>
    <w:rsid w:val="5AA12940"/>
    <w:rsid w:val="5AA75D85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B0A4D6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20B74"/>
    <w:rsid w:val="5BB33170"/>
    <w:rsid w:val="5BC677D8"/>
    <w:rsid w:val="5BD0669E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1C3059"/>
    <w:rsid w:val="5C235386"/>
    <w:rsid w:val="5C2A4E9F"/>
    <w:rsid w:val="5C37782E"/>
    <w:rsid w:val="5C3B6CFC"/>
    <w:rsid w:val="5C4735D5"/>
    <w:rsid w:val="5C4C2CF4"/>
    <w:rsid w:val="5C6B1600"/>
    <w:rsid w:val="5C6E26BF"/>
    <w:rsid w:val="5C706511"/>
    <w:rsid w:val="5C7D70D1"/>
    <w:rsid w:val="5C8542A8"/>
    <w:rsid w:val="5C93251D"/>
    <w:rsid w:val="5CA6294E"/>
    <w:rsid w:val="5CB14782"/>
    <w:rsid w:val="5CCC1DEC"/>
    <w:rsid w:val="5CDB3358"/>
    <w:rsid w:val="5CED4E0C"/>
    <w:rsid w:val="5CEE1DD1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FD51DB"/>
    <w:rsid w:val="5E0B017F"/>
    <w:rsid w:val="5E0B0848"/>
    <w:rsid w:val="5E1D4A67"/>
    <w:rsid w:val="5E1F2E4C"/>
    <w:rsid w:val="5E237029"/>
    <w:rsid w:val="5E3358BB"/>
    <w:rsid w:val="5E3A3BD1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A75DFF"/>
    <w:rsid w:val="5EB51FDE"/>
    <w:rsid w:val="5EBA4472"/>
    <w:rsid w:val="5EC3227D"/>
    <w:rsid w:val="5EC504C9"/>
    <w:rsid w:val="5EC93320"/>
    <w:rsid w:val="5ECA3D37"/>
    <w:rsid w:val="5EDD488F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68C"/>
    <w:rsid w:val="5F875C0C"/>
    <w:rsid w:val="5F8A0701"/>
    <w:rsid w:val="5F8F0B9E"/>
    <w:rsid w:val="5F8F267A"/>
    <w:rsid w:val="5F941274"/>
    <w:rsid w:val="5F9A540B"/>
    <w:rsid w:val="5FAB7F08"/>
    <w:rsid w:val="5FB7185B"/>
    <w:rsid w:val="5FB94C48"/>
    <w:rsid w:val="5FBE576C"/>
    <w:rsid w:val="5FDE327E"/>
    <w:rsid w:val="5FEB4E90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37FFC"/>
    <w:rsid w:val="602C236D"/>
    <w:rsid w:val="603114E4"/>
    <w:rsid w:val="603967D7"/>
    <w:rsid w:val="603D3325"/>
    <w:rsid w:val="604040A8"/>
    <w:rsid w:val="60470CE3"/>
    <w:rsid w:val="60485D19"/>
    <w:rsid w:val="604D29BA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D0F5A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34474"/>
    <w:rsid w:val="61ED6D6A"/>
    <w:rsid w:val="61FF316E"/>
    <w:rsid w:val="62014BDB"/>
    <w:rsid w:val="621542CB"/>
    <w:rsid w:val="621C2930"/>
    <w:rsid w:val="624263A2"/>
    <w:rsid w:val="625272C3"/>
    <w:rsid w:val="626A1B4F"/>
    <w:rsid w:val="62715337"/>
    <w:rsid w:val="6280204D"/>
    <w:rsid w:val="6290769B"/>
    <w:rsid w:val="62943D08"/>
    <w:rsid w:val="629718F1"/>
    <w:rsid w:val="62A05735"/>
    <w:rsid w:val="62A411F8"/>
    <w:rsid w:val="62A81A26"/>
    <w:rsid w:val="62B0109F"/>
    <w:rsid w:val="62BA7A46"/>
    <w:rsid w:val="62C376AC"/>
    <w:rsid w:val="62CE13CB"/>
    <w:rsid w:val="62D2197B"/>
    <w:rsid w:val="62DB028F"/>
    <w:rsid w:val="62EE4623"/>
    <w:rsid w:val="62F214BD"/>
    <w:rsid w:val="62F6011A"/>
    <w:rsid w:val="62FD2BA9"/>
    <w:rsid w:val="6327422B"/>
    <w:rsid w:val="6328597C"/>
    <w:rsid w:val="633B249F"/>
    <w:rsid w:val="633D1842"/>
    <w:rsid w:val="635123F0"/>
    <w:rsid w:val="63552D76"/>
    <w:rsid w:val="6359778B"/>
    <w:rsid w:val="635B63E3"/>
    <w:rsid w:val="63677698"/>
    <w:rsid w:val="63771D13"/>
    <w:rsid w:val="638C3395"/>
    <w:rsid w:val="63B37325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47D2A"/>
    <w:rsid w:val="63F6335E"/>
    <w:rsid w:val="63FE2D33"/>
    <w:rsid w:val="64046427"/>
    <w:rsid w:val="642369FC"/>
    <w:rsid w:val="64254882"/>
    <w:rsid w:val="64264A79"/>
    <w:rsid w:val="642A38B2"/>
    <w:rsid w:val="64304E58"/>
    <w:rsid w:val="64311867"/>
    <w:rsid w:val="64391ED3"/>
    <w:rsid w:val="6445632E"/>
    <w:rsid w:val="64566F9D"/>
    <w:rsid w:val="64596CB3"/>
    <w:rsid w:val="646E49A6"/>
    <w:rsid w:val="64742B63"/>
    <w:rsid w:val="647949B0"/>
    <w:rsid w:val="647E661E"/>
    <w:rsid w:val="648939AA"/>
    <w:rsid w:val="648C635C"/>
    <w:rsid w:val="649B1AC2"/>
    <w:rsid w:val="649B4C1C"/>
    <w:rsid w:val="64A7467B"/>
    <w:rsid w:val="64B53322"/>
    <w:rsid w:val="64C41B57"/>
    <w:rsid w:val="64C61AF8"/>
    <w:rsid w:val="64C86505"/>
    <w:rsid w:val="64E65F95"/>
    <w:rsid w:val="64EB5728"/>
    <w:rsid w:val="64FB4412"/>
    <w:rsid w:val="64FE700F"/>
    <w:rsid w:val="6500327F"/>
    <w:rsid w:val="6503698F"/>
    <w:rsid w:val="6506609B"/>
    <w:rsid w:val="65083216"/>
    <w:rsid w:val="650A57D3"/>
    <w:rsid w:val="65460728"/>
    <w:rsid w:val="654835A8"/>
    <w:rsid w:val="654C7056"/>
    <w:rsid w:val="65733E15"/>
    <w:rsid w:val="65822810"/>
    <w:rsid w:val="65870C45"/>
    <w:rsid w:val="658F6B54"/>
    <w:rsid w:val="659705FF"/>
    <w:rsid w:val="659C60A2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300AC"/>
    <w:rsid w:val="661D25CE"/>
    <w:rsid w:val="66206CF2"/>
    <w:rsid w:val="66265846"/>
    <w:rsid w:val="66287C9C"/>
    <w:rsid w:val="662E4097"/>
    <w:rsid w:val="664805B8"/>
    <w:rsid w:val="665572E9"/>
    <w:rsid w:val="665B14BD"/>
    <w:rsid w:val="665B55EA"/>
    <w:rsid w:val="66641D58"/>
    <w:rsid w:val="66655F85"/>
    <w:rsid w:val="66755A26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940172"/>
    <w:rsid w:val="67A01F16"/>
    <w:rsid w:val="67A2026E"/>
    <w:rsid w:val="67AD0902"/>
    <w:rsid w:val="67B163D1"/>
    <w:rsid w:val="67B21931"/>
    <w:rsid w:val="67CF3BE0"/>
    <w:rsid w:val="67D1123C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445430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507C6"/>
    <w:rsid w:val="68E24981"/>
    <w:rsid w:val="68E62C62"/>
    <w:rsid w:val="68ED60A5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D6B21"/>
    <w:rsid w:val="69611EE7"/>
    <w:rsid w:val="69621F5B"/>
    <w:rsid w:val="696C708E"/>
    <w:rsid w:val="696F4D5D"/>
    <w:rsid w:val="69850877"/>
    <w:rsid w:val="698C13C5"/>
    <w:rsid w:val="69C12919"/>
    <w:rsid w:val="69C27AB7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AE7116"/>
    <w:rsid w:val="6AAF014C"/>
    <w:rsid w:val="6ABD60AB"/>
    <w:rsid w:val="6AC07690"/>
    <w:rsid w:val="6ACB082B"/>
    <w:rsid w:val="6AD3247E"/>
    <w:rsid w:val="6AE4699C"/>
    <w:rsid w:val="6AED1BE8"/>
    <w:rsid w:val="6AF00853"/>
    <w:rsid w:val="6AF317C6"/>
    <w:rsid w:val="6B004C6B"/>
    <w:rsid w:val="6B09696B"/>
    <w:rsid w:val="6B2B0EFD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E71622"/>
    <w:rsid w:val="6BE727F5"/>
    <w:rsid w:val="6C001608"/>
    <w:rsid w:val="6C004425"/>
    <w:rsid w:val="6C08064C"/>
    <w:rsid w:val="6C0858B3"/>
    <w:rsid w:val="6C132D21"/>
    <w:rsid w:val="6C14347F"/>
    <w:rsid w:val="6C240DF3"/>
    <w:rsid w:val="6C2C1B32"/>
    <w:rsid w:val="6C45610F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75F1D"/>
    <w:rsid w:val="6CAF7564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ED1766"/>
    <w:rsid w:val="6DF43BD4"/>
    <w:rsid w:val="6E0E1FAB"/>
    <w:rsid w:val="6E2143FB"/>
    <w:rsid w:val="6E295363"/>
    <w:rsid w:val="6E317378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E1485"/>
    <w:rsid w:val="6F0247B3"/>
    <w:rsid w:val="6F031F8E"/>
    <w:rsid w:val="6F09008D"/>
    <w:rsid w:val="6F0C735C"/>
    <w:rsid w:val="6F0D382C"/>
    <w:rsid w:val="6F2632E8"/>
    <w:rsid w:val="6F30363A"/>
    <w:rsid w:val="6F3316E5"/>
    <w:rsid w:val="6F3F40F9"/>
    <w:rsid w:val="6F424B2F"/>
    <w:rsid w:val="6F5E0205"/>
    <w:rsid w:val="6F632569"/>
    <w:rsid w:val="6F635E50"/>
    <w:rsid w:val="6F6F14E1"/>
    <w:rsid w:val="6F76254B"/>
    <w:rsid w:val="6F7C40AC"/>
    <w:rsid w:val="6F8040F4"/>
    <w:rsid w:val="6F877B03"/>
    <w:rsid w:val="6F905BB3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B518F"/>
    <w:rsid w:val="6FE529ED"/>
    <w:rsid w:val="6FF733A7"/>
    <w:rsid w:val="70003DD9"/>
    <w:rsid w:val="70072915"/>
    <w:rsid w:val="70172090"/>
    <w:rsid w:val="70195E88"/>
    <w:rsid w:val="701D43BA"/>
    <w:rsid w:val="70291C03"/>
    <w:rsid w:val="702B6F43"/>
    <w:rsid w:val="7032079E"/>
    <w:rsid w:val="703C186A"/>
    <w:rsid w:val="704C34F0"/>
    <w:rsid w:val="70570007"/>
    <w:rsid w:val="705843B4"/>
    <w:rsid w:val="7058635C"/>
    <w:rsid w:val="70611FB0"/>
    <w:rsid w:val="70655A58"/>
    <w:rsid w:val="70673024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F00B2"/>
    <w:rsid w:val="71702748"/>
    <w:rsid w:val="71867894"/>
    <w:rsid w:val="718E3AA9"/>
    <w:rsid w:val="71920F6D"/>
    <w:rsid w:val="7196106A"/>
    <w:rsid w:val="719E0160"/>
    <w:rsid w:val="719F7A78"/>
    <w:rsid w:val="71A03079"/>
    <w:rsid w:val="71AD22C0"/>
    <w:rsid w:val="71B623F6"/>
    <w:rsid w:val="71B84778"/>
    <w:rsid w:val="71C7540C"/>
    <w:rsid w:val="71E857A5"/>
    <w:rsid w:val="71F64A63"/>
    <w:rsid w:val="71F870B8"/>
    <w:rsid w:val="71F9130C"/>
    <w:rsid w:val="72021233"/>
    <w:rsid w:val="720B2A1D"/>
    <w:rsid w:val="72197AB8"/>
    <w:rsid w:val="7231773E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D426E"/>
    <w:rsid w:val="73043CFC"/>
    <w:rsid w:val="7317244F"/>
    <w:rsid w:val="732B736C"/>
    <w:rsid w:val="732C334F"/>
    <w:rsid w:val="733501BF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8D1AFA"/>
    <w:rsid w:val="73917325"/>
    <w:rsid w:val="7395427D"/>
    <w:rsid w:val="73AE5485"/>
    <w:rsid w:val="73B1087F"/>
    <w:rsid w:val="73B2330F"/>
    <w:rsid w:val="73BC7089"/>
    <w:rsid w:val="73BE7067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C03187"/>
    <w:rsid w:val="74E427B4"/>
    <w:rsid w:val="74E4756E"/>
    <w:rsid w:val="74ED19FF"/>
    <w:rsid w:val="75084E8F"/>
    <w:rsid w:val="7509261E"/>
    <w:rsid w:val="75202656"/>
    <w:rsid w:val="752231CE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A4340"/>
    <w:rsid w:val="76123E1D"/>
    <w:rsid w:val="761270F3"/>
    <w:rsid w:val="761724E5"/>
    <w:rsid w:val="762545DB"/>
    <w:rsid w:val="762A17C0"/>
    <w:rsid w:val="762B7A6C"/>
    <w:rsid w:val="762E6798"/>
    <w:rsid w:val="763E6F8E"/>
    <w:rsid w:val="76425118"/>
    <w:rsid w:val="764838B9"/>
    <w:rsid w:val="764B15DA"/>
    <w:rsid w:val="764C09B4"/>
    <w:rsid w:val="764F5A52"/>
    <w:rsid w:val="76521C57"/>
    <w:rsid w:val="766163C1"/>
    <w:rsid w:val="76665926"/>
    <w:rsid w:val="766A4A0D"/>
    <w:rsid w:val="76873FA6"/>
    <w:rsid w:val="768C454B"/>
    <w:rsid w:val="7692667A"/>
    <w:rsid w:val="76982273"/>
    <w:rsid w:val="769A7352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451578"/>
    <w:rsid w:val="774963F2"/>
    <w:rsid w:val="77576666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A012A"/>
    <w:rsid w:val="779A096B"/>
    <w:rsid w:val="779B52FF"/>
    <w:rsid w:val="779C011D"/>
    <w:rsid w:val="77A00E75"/>
    <w:rsid w:val="77A80D17"/>
    <w:rsid w:val="77B841F3"/>
    <w:rsid w:val="77BF5A2B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B0552C"/>
    <w:rsid w:val="78BE00A1"/>
    <w:rsid w:val="78C34D95"/>
    <w:rsid w:val="78C53485"/>
    <w:rsid w:val="78C6693F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8FB"/>
    <w:rsid w:val="79412D41"/>
    <w:rsid w:val="794708D9"/>
    <w:rsid w:val="794B21A1"/>
    <w:rsid w:val="7964574A"/>
    <w:rsid w:val="79764412"/>
    <w:rsid w:val="79804706"/>
    <w:rsid w:val="79835FC2"/>
    <w:rsid w:val="79840597"/>
    <w:rsid w:val="79941CF2"/>
    <w:rsid w:val="79973382"/>
    <w:rsid w:val="79B4353E"/>
    <w:rsid w:val="79C07B43"/>
    <w:rsid w:val="79C832AC"/>
    <w:rsid w:val="79D33056"/>
    <w:rsid w:val="79D715DF"/>
    <w:rsid w:val="79D85AB0"/>
    <w:rsid w:val="79E16F93"/>
    <w:rsid w:val="79E701E5"/>
    <w:rsid w:val="79EC0256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E0869"/>
    <w:rsid w:val="7A69432B"/>
    <w:rsid w:val="7A6E4BF5"/>
    <w:rsid w:val="7A6E5088"/>
    <w:rsid w:val="7A7F4A1E"/>
    <w:rsid w:val="7A8246BA"/>
    <w:rsid w:val="7A851D5D"/>
    <w:rsid w:val="7A8A2267"/>
    <w:rsid w:val="7AA07F3B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B05641A"/>
    <w:rsid w:val="7B0B692F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261982"/>
    <w:rsid w:val="7C26369C"/>
    <w:rsid w:val="7C2A465C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E4349"/>
    <w:rsid w:val="7C77043F"/>
    <w:rsid w:val="7C8A7CDC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F5720"/>
    <w:rsid w:val="7D24652E"/>
    <w:rsid w:val="7D2561FD"/>
    <w:rsid w:val="7D2E198F"/>
    <w:rsid w:val="7D342E03"/>
    <w:rsid w:val="7D3B3737"/>
    <w:rsid w:val="7D3D73AF"/>
    <w:rsid w:val="7D3F6E5D"/>
    <w:rsid w:val="7D5052A6"/>
    <w:rsid w:val="7D514310"/>
    <w:rsid w:val="7D5B27C9"/>
    <w:rsid w:val="7D62117D"/>
    <w:rsid w:val="7D6B7F02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FF1E31"/>
    <w:rsid w:val="7E0565CD"/>
    <w:rsid w:val="7E090313"/>
    <w:rsid w:val="7E097A5B"/>
    <w:rsid w:val="7E320279"/>
    <w:rsid w:val="7E3E0FEC"/>
    <w:rsid w:val="7E3E1EF2"/>
    <w:rsid w:val="7E566EA2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5174A"/>
    <w:rsid w:val="7E853F0D"/>
    <w:rsid w:val="7E8B68B9"/>
    <w:rsid w:val="7EA77314"/>
    <w:rsid w:val="7EAA7C26"/>
    <w:rsid w:val="7EAF1FAA"/>
    <w:rsid w:val="7EB4653A"/>
    <w:rsid w:val="7EBD44C4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5A226D"/>
    <w:rsid w:val="7F6A77AB"/>
    <w:rsid w:val="7F6B2248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31"/>
    <w:basedOn w:val="25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7">
    <w:name w:val="font41"/>
    <w:basedOn w:val="25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8">
    <w:name w:val="font11"/>
    <w:basedOn w:val="25"/>
    <w:qFormat/>
    <w:uiPriority w:val="0"/>
    <w:rPr>
      <w:rFonts w:ascii="Symbol" w:hAnsi="Symbol" w:cs="Symbo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oleObject" Target="embeddings/oleObject4.bin"/><Relationship Id="rId15" Type="http://schemas.openxmlformats.org/officeDocument/2006/relationships/oleObject" Target="embeddings/oleObject3.bin"/><Relationship Id="rId14" Type="http://schemas.openxmlformats.org/officeDocument/2006/relationships/oleObject" Target="embeddings/oleObject2.bin"/><Relationship Id="rId13" Type="http://schemas.openxmlformats.org/officeDocument/2006/relationships/image" Target="media/image1.wmf"/><Relationship Id="rId12" Type="http://schemas.openxmlformats.org/officeDocument/2006/relationships/oleObject" Target="embeddings/oleObject1.bin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5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2024-11-08T08:52:34Z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AF51E3F58F86419B99C442BBBB4CEA96</vt:lpwstr>
  </property>
</Properties>
</file>